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97" w:rsidRPr="00EA5097" w:rsidRDefault="000B52BC" w:rsidP="00CD5AA3">
      <w:pPr>
        <w:pStyle w:val="Heading1"/>
      </w:pPr>
      <w:r>
        <w:t>Note</w:t>
      </w: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2839"/>
        <w:gridCol w:w="11153"/>
      </w:tblGrid>
      <w:tr w:rsidR="000B52BC" w:rsidTr="00075933">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Meeting Date</w:t>
            </w:r>
          </w:p>
        </w:tc>
        <w:tc>
          <w:tcPr>
            <w:tcW w:w="11153" w:type="dxa"/>
          </w:tcPr>
          <w:p w:rsidR="000B52BC" w:rsidRDefault="00075933" w:rsidP="0070720C">
            <w:pPr>
              <w:spacing w:before="120" w:after="120" w:line="300" w:lineRule="auto"/>
            </w:pPr>
            <w:r>
              <w:t>Thursday</w:t>
            </w:r>
            <w:r w:rsidR="00B05DC7">
              <w:t xml:space="preserve"> </w:t>
            </w:r>
            <w:r w:rsidR="0070720C">
              <w:t>24 March 2022,</w:t>
            </w:r>
            <w:r w:rsidR="000B52BC">
              <w:t xml:space="preserve"> </w:t>
            </w:r>
            <w:r w:rsidR="00D442AB">
              <w:t>10:30</w:t>
            </w:r>
            <w:r w:rsidR="000B52BC">
              <w:t xml:space="preserve"> – </w:t>
            </w:r>
            <w:r w:rsidR="0070720C">
              <w:t>11:50</w:t>
            </w:r>
          </w:p>
        </w:tc>
      </w:tr>
      <w:tr w:rsidR="000B52BC" w:rsidTr="00075933">
        <w:tc>
          <w:tcPr>
            <w:tcW w:w="2839" w:type="dxa"/>
          </w:tcPr>
          <w:p w:rsidR="000B52BC" w:rsidRPr="0014551F" w:rsidRDefault="0024113B" w:rsidP="0024113B">
            <w:pPr>
              <w:spacing w:before="120" w:after="120" w:line="300" w:lineRule="auto"/>
              <w:rPr>
                <w:b/>
                <w:color w:val="404040" w:themeColor="text1" w:themeTint="BF"/>
              </w:rPr>
            </w:pPr>
            <w:r>
              <w:rPr>
                <w:b/>
                <w:color w:val="404040" w:themeColor="text1" w:themeTint="BF"/>
              </w:rPr>
              <w:t>Board</w:t>
            </w:r>
          </w:p>
        </w:tc>
        <w:tc>
          <w:tcPr>
            <w:tcW w:w="11153" w:type="dxa"/>
          </w:tcPr>
          <w:p w:rsidR="00E14757" w:rsidRDefault="00E14757" w:rsidP="00E14757">
            <w:pPr>
              <w:spacing w:before="60" w:after="60"/>
            </w:pPr>
            <w:r>
              <w:t>Andy Shaw, Chair</w:t>
            </w:r>
          </w:p>
          <w:p w:rsidR="00E14757" w:rsidRPr="002965D8" w:rsidRDefault="00E14757" w:rsidP="00E14757">
            <w:pPr>
              <w:spacing w:before="60" w:after="60"/>
            </w:pPr>
            <w:r w:rsidRPr="002965D8">
              <w:t>Claire Robertson</w:t>
            </w:r>
            <w:bookmarkStart w:id="0" w:name="_GoBack"/>
            <w:bookmarkEnd w:id="0"/>
          </w:p>
          <w:p w:rsidR="000B52BC" w:rsidRDefault="00E14757" w:rsidP="00E14757">
            <w:pPr>
              <w:spacing w:before="60" w:after="60"/>
            </w:pPr>
            <w:r>
              <w:t>David Watt</w:t>
            </w:r>
          </w:p>
        </w:tc>
      </w:tr>
      <w:tr w:rsidR="000B52BC" w:rsidTr="00075933">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Attendees</w:t>
            </w:r>
          </w:p>
        </w:tc>
        <w:tc>
          <w:tcPr>
            <w:tcW w:w="11153" w:type="dxa"/>
          </w:tcPr>
          <w:p w:rsidR="00E14757" w:rsidRDefault="00E14757" w:rsidP="00E14757">
            <w:pPr>
              <w:spacing w:before="60" w:after="60"/>
            </w:pPr>
            <w:r>
              <w:t>External Auditor - Deloitte: Pat Kenny</w:t>
            </w:r>
          </w:p>
          <w:p w:rsidR="00E14757" w:rsidRDefault="00E14757" w:rsidP="00E14757">
            <w:pPr>
              <w:spacing w:before="60" w:after="60"/>
            </w:pPr>
            <w:r>
              <w:t>Internal Auditor – Wylie and Bisset: Stephen Pringle</w:t>
            </w:r>
          </w:p>
          <w:p w:rsidR="00E14757" w:rsidRDefault="00E14757" w:rsidP="00E14757">
            <w:pPr>
              <w:spacing w:before="60" w:after="60"/>
            </w:pPr>
            <w:r>
              <w:t>Ombudsman - Rosemary Agnew</w:t>
            </w:r>
          </w:p>
          <w:p w:rsidR="00E14757" w:rsidRDefault="00E14757" w:rsidP="00E14757">
            <w:pPr>
              <w:spacing w:before="60" w:after="60"/>
            </w:pPr>
            <w:r>
              <w:t>Director - Niki Maclean</w:t>
            </w:r>
          </w:p>
          <w:p w:rsidR="00E14757" w:rsidRDefault="00E14757" w:rsidP="00E14757">
            <w:pPr>
              <w:spacing w:before="60" w:after="60"/>
            </w:pPr>
            <w:r>
              <w:t>Head of Improvement, Standards and Engagement – Andrew Sheridan</w:t>
            </w:r>
          </w:p>
          <w:p w:rsidR="000B52BC" w:rsidRDefault="00E14757" w:rsidP="00E14757">
            <w:pPr>
              <w:spacing w:before="60" w:after="60"/>
            </w:pPr>
            <w:r>
              <w:t>Corporate Services Manager - Fiona Paterson (note taker)</w:t>
            </w:r>
          </w:p>
        </w:tc>
      </w:tr>
      <w:tr w:rsidR="00E14757" w:rsidTr="00075933">
        <w:tc>
          <w:tcPr>
            <w:tcW w:w="2839" w:type="dxa"/>
          </w:tcPr>
          <w:p w:rsidR="00E14757" w:rsidRPr="0014551F" w:rsidRDefault="00E14757" w:rsidP="00E14757">
            <w:pPr>
              <w:spacing w:before="120" w:after="120" w:line="300" w:lineRule="auto"/>
              <w:rPr>
                <w:b/>
                <w:color w:val="404040" w:themeColor="text1" w:themeTint="BF"/>
              </w:rPr>
            </w:pPr>
            <w:r>
              <w:rPr>
                <w:b/>
                <w:color w:val="404040" w:themeColor="text1" w:themeTint="BF"/>
              </w:rPr>
              <w:t>Observer</w:t>
            </w:r>
          </w:p>
        </w:tc>
        <w:tc>
          <w:tcPr>
            <w:tcW w:w="11153" w:type="dxa"/>
          </w:tcPr>
          <w:p w:rsidR="00E14757" w:rsidRDefault="0070720C" w:rsidP="0070720C">
            <w:pPr>
              <w:spacing w:before="60" w:after="60"/>
            </w:pPr>
            <w:r>
              <w:t>Scottish Biometrics Commissioner Corporate Services</w:t>
            </w:r>
            <w:r w:rsidR="00E14757">
              <w:t xml:space="preserve"> </w:t>
            </w:r>
            <w:r>
              <w:t xml:space="preserve">Manager </w:t>
            </w:r>
            <w:r w:rsidR="00E14757">
              <w:t xml:space="preserve">– </w:t>
            </w:r>
            <w:r>
              <w:t>Cheryl Glen</w:t>
            </w:r>
          </w:p>
        </w:tc>
      </w:tr>
    </w:tbl>
    <w:p w:rsidR="00DD43C5" w:rsidRPr="00DD43C5" w:rsidRDefault="00DD43C5" w:rsidP="000D3F33">
      <w:pPr>
        <w:spacing w:before="120" w:after="120" w:line="300" w:lineRule="auto"/>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7796"/>
        <w:gridCol w:w="1559"/>
        <w:gridCol w:w="992"/>
        <w:gridCol w:w="956"/>
      </w:tblGrid>
      <w:tr w:rsidR="0016777E" w:rsidRPr="009A5A53" w:rsidTr="00A16EED">
        <w:trPr>
          <w:tblHeader/>
        </w:trPr>
        <w:tc>
          <w:tcPr>
            <w:tcW w:w="704" w:type="dxa"/>
            <w:shd w:val="clear" w:color="auto" w:fill="9FCFD5"/>
          </w:tcPr>
          <w:p w:rsidR="000B52BC" w:rsidRPr="009A5A53" w:rsidRDefault="000B52BC" w:rsidP="00A16EED">
            <w:pPr>
              <w:spacing w:before="120" w:after="120" w:line="300" w:lineRule="auto"/>
              <w:jc w:val="center"/>
              <w:rPr>
                <w:b/>
                <w:color w:val="000000" w:themeColor="text1"/>
              </w:rPr>
            </w:pPr>
            <w:r w:rsidRPr="009A5A53">
              <w:rPr>
                <w:b/>
                <w:color w:val="000000" w:themeColor="text1"/>
              </w:rPr>
              <w:t>Item</w:t>
            </w:r>
          </w:p>
        </w:tc>
        <w:tc>
          <w:tcPr>
            <w:tcW w:w="1985"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Subject</w:t>
            </w:r>
          </w:p>
        </w:tc>
        <w:tc>
          <w:tcPr>
            <w:tcW w:w="7796"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Main points of discussion</w:t>
            </w:r>
          </w:p>
        </w:tc>
        <w:tc>
          <w:tcPr>
            <w:tcW w:w="1559"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Actions agreed</w:t>
            </w:r>
          </w:p>
        </w:tc>
        <w:tc>
          <w:tcPr>
            <w:tcW w:w="992"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Due</w:t>
            </w:r>
          </w:p>
        </w:tc>
        <w:tc>
          <w:tcPr>
            <w:tcW w:w="956" w:type="dxa"/>
            <w:shd w:val="clear" w:color="auto" w:fill="9FCFD5"/>
          </w:tcPr>
          <w:p w:rsidR="000B52BC" w:rsidRPr="009A5A53" w:rsidRDefault="000B52BC" w:rsidP="009353FE">
            <w:pPr>
              <w:spacing w:before="120" w:after="120" w:line="300" w:lineRule="auto"/>
              <w:jc w:val="center"/>
              <w:rPr>
                <w:b/>
                <w:color w:val="000000" w:themeColor="text1"/>
              </w:rPr>
            </w:pPr>
            <w:r w:rsidRPr="009A5A53">
              <w:rPr>
                <w:b/>
                <w:color w:val="000000" w:themeColor="text1"/>
              </w:rPr>
              <w:t>Lead</w:t>
            </w:r>
          </w:p>
        </w:tc>
      </w:tr>
      <w:tr w:rsidR="00B05DC7" w:rsidRPr="009A5A53" w:rsidTr="00A16EED">
        <w:tc>
          <w:tcPr>
            <w:tcW w:w="704" w:type="dxa"/>
          </w:tcPr>
          <w:p w:rsidR="00B05DC7" w:rsidRDefault="00B05DC7" w:rsidP="00A16EED">
            <w:pPr>
              <w:spacing w:before="120" w:after="120" w:line="300" w:lineRule="auto"/>
              <w:jc w:val="center"/>
              <w:rPr>
                <w:color w:val="000000" w:themeColor="text1"/>
              </w:rPr>
            </w:pPr>
            <w:r>
              <w:rPr>
                <w:color w:val="000000" w:themeColor="text1"/>
              </w:rPr>
              <w:t>1.</w:t>
            </w:r>
          </w:p>
        </w:tc>
        <w:tc>
          <w:tcPr>
            <w:tcW w:w="1985" w:type="dxa"/>
          </w:tcPr>
          <w:p w:rsidR="00B05DC7" w:rsidRDefault="00B05DC7" w:rsidP="009353FE">
            <w:pPr>
              <w:spacing w:before="120" w:after="120" w:line="300" w:lineRule="auto"/>
              <w:rPr>
                <w:lang w:eastAsia="en-US"/>
              </w:rPr>
            </w:pPr>
            <w:r>
              <w:rPr>
                <w:lang w:eastAsia="en-US"/>
              </w:rPr>
              <w:t>Welcome</w:t>
            </w:r>
          </w:p>
        </w:tc>
        <w:tc>
          <w:tcPr>
            <w:tcW w:w="7796" w:type="dxa"/>
          </w:tcPr>
          <w:p w:rsidR="00B05DC7" w:rsidRPr="00E65A16" w:rsidRDefault="00B05DC7" w:rsidP="00E65A16">
            <w:pPr>
              <w:spacing w:before="120" w:after="120" w:line="300" w:lineRule="auto"/>
              <w:rPr>
                <w:color w:val="000000" w:themeColor="text1"/>
              </w:rPr>
            </w:pPr>
            <w:r w:rsidRPr="00E65A16">
              <w:rPr>
                <w:color w:val="000000" w:themeColor="text1"/>
              </w:rPr>
              <w:t xml:space="preserve">The Chair </w:t>
            </w:r>
            <w:r w:rsidR="00E65A16" w:rsidRPr="00E65A16">
              <w:rPr>
                <w:color w:val="000000" w:themeColor="text1"/>
              </w:rPr>
              <w:t xml:space="preserve">thanked everyone for attending </w:t>
            </w:r>
            <w:r w:rsidRPr="00E65A16">
              <w:rPr>
                <w:color w:val="000000" w:themeColor="text1"/>
              </w:rPr>
              <w:t xml:space="preserve">and noted the </w:t>
            </w:r>
            <w:r w:rsidR="00492C4E" w:rsidRPr="00E65A16">
              <w:rPr>
                <w:color w:val="000000" w:themeColor="text1"/>
              </w:rPr>
              <w:t xml:space="preserve">technical </w:t>
            </w:r>
            <w:r w:rsidRPr="00E65A16">
              <w:rPr>
                <w:color w:val="000000" w:themeColor="text1"/>
              </w:rPr>
              <w:t>difficulties that may be experienced</w:t>
            </w:r>
            <w:r w:rsidR="00492C4E" w:rsidRPr="00E65A16">
              <w:rPr>
                <w:color w:val="000000" w:themeColor="text1"/>
              </w:rPr>
              <w:t xml:space="preserve"> by attendees during this</w:t>
            </w:r>
            <w:r w:rsidRPr="00E65A16">
              <w:rPr>
                <w:color w:val="000000" w:themeColor="text1"/>
              </w:rPr>
              <w:t xml:space="preserve"> </w:t>
            </w:r>
            <w:r w:rsidR="00492C4E" w:rsidRPr="00E65A16">
              <w:rPr>
                <w:color w:val="000000" w:themeColor="text1"/>
              </w:rPr>
              <w:t>video-conference</w:t>
            </w:r>
            <w:r w:rsidRPr="00E65A16">
              <w:rPr>
                <w:color w:val="000000" w:themeColor="text1"/>
              </w:rPr>
              <w:t xml:space="preserve"> meeting.</w:t>
            </w:r>
          </w:p>
        </w:tc>
        <w:tc>
          <w:tcPr>
            <w:tcW w:w="1559" w:type="dxa"/>
            <w:shd w:val="clear" w:color="auto" w:fill="auto"/>
          </w:tcPr>
          <w:p w:rsidR="00B05DC7" w:rsidRPr="009A5A53" w:rsidRDefault="00B05DC7" w:rsidP="009353FE">
            <w:pPr>
              <w:spacing w:before="120" w:after="120" w:line="300" w:lineRule="auto"/>
              <w:rPr>
                <w:color w:val="000000" w:themeColor="text1"/>
              </w:rPr>
            </w:pPr>
          </w:p>
        </w:tc>
        <w:tc>
          <w:tcPr>
            <w:tcW w:w="992" w:type="dxa"/>
            <w:shd w:val="clear" w:color="auto" w:fill="auto"/>
          </w:tcPr>
          <w:p w:rsidR="00B05DC7" w:rsidRPr="009A5A53" w:rsidRDefault="00B05DC7" w:rsidP="009353FE">
            <w:pPr>
              <w:spacing w:before="120" w:after="120" w:line="300" w:lineRule="auto"/>
              <w:rPr>
                <w:color w:val="000000" w:themeColor="text1"/>
              </w:rPr>
            </w:pPr>
          </w:p>
        </w:tc>
        <w:tc>
          <w:tcPr>
            <w:tcW w:w="956" w:type="dxa"/>
            <w:shd w:val="clear" w:color="auto" w:fill="auto"/>
          </w:tcPr>
          <w:p w:rsidR="00B05DC7" w:rsidRDefault="00B05DC7" w:rsidP="0016777E">
            <w:pPr>
              <w:spacing w:before="120" w:after="120" w:line="300" w:lineRule="auto"/>
              <w:rPr>
                <w:color w:val="000000" w:themeColor="text1"/>
              </w:rPr>
            </w:pPr>
          </w:p>
        </w:tc>
      </w:tr>
      <w:tr w:rsidR="0016777E" w:rsidRPr="009A5A53" w:rsidTr="00A16EED">
        <w:tc>
          <w:tcPr>
            <w:tcW w:w="704" w:type="dxa"/>
          </w:tcPr>
          <w:p w:rsidR="009353FE" w:rsidRDefault="00B05DC7" w:rsidP="00A16EED">
            <w:pPr>
              <w:spacing w:before="120" w:after="120" w:line="300" w:lineRule="auto"/>
              <w:jc w:val="center"/>
              <w:rPr>
                <w:color w:val="000000" w:themeColor="text1"/>
              </w:rPr>
            </w:pPr>
            <w:r>
              <w:rPr>
                <w:color w:val="000000" w:themeColor="text1"/>
              </w:rPr>
              <w:t>2</w:t>
            </w:r>
            <w:r w:rsidR="009353FE">
              <w:rPr>
                <w:color w:val="000000" w:themeColor="text1"/>
              </w:rPr>
              <w:t>.</w:t>
            </w:r>
          </w:p>
        </w:tc>
        <w:tc>
          <w:tcPr>
            <w:tcW w:w="1985" w:type="dxa"/>
          </w:tcPr>
          <w:p w:rsidR="009353FE" w:rsidRPr="0016518D" w:rsidRDefault="009353FE" w:rsidP="009353FE">
            <w:pPr>
              <w:spacing w:before="120" w:after="120" w:line="300" w:lineRule="auto"/>
              <w:rPr>
                <w:lang w:eastAsia="en-US"/>
              </w:rPr>
            </w:pPr>
            <w:r>
              <w:rPr>
                <w:lang w:eastAsia="en-US"/>
              </w:rPr>
              <w:t>D</w:t>
            </w:r>
            <w:r w:rsidRPr="0016518D">
              <w:rPr>
                <w:lang w:eastAsia="en-US"/>
              </w:rPr>
              <w:t>eclarations of Interest</w:t>
            </w:r>
          </w:p>
        </w:tc>
        <w:tc>
          <w:tcPr>
            <w:tcW w:w="7796" w:type="dxa"/>
          </w:tcPr>
          <w:p w:rsidR="0070720C" w:rsidRDefault="0070720C" w:rsidP="0070720C">
            <w:pPr>
              <w:spacing w:before="120" w:after="120" w:line="300" w:lineRule="auto"/>
              <w:rPr>
                <w:color w:val="000000" w:themeColor="text1"/>
              </w:rPr>
            </w:pPr>
            <w:r>
              <w:rPr>
                <w:color w:val="000000" w:themeColor="text1"/>
              </w:rPr>
              <w:t xml:space="preserve">Due to the agenda including a discussion on the SPSO response to the IRO Audit Scotland Section 22 report, the External Auditor declared himself as the </w:t>
            </w:r>
            <w:r>
              <w:rPr>
                <w:color w:val="000000" w:themeColor="text1"/>
              </w:rPr>
              <w:lastRenderedPageBreak/>
              <w:t>author of the report</w:t>
            </w:r>
            <w:r w:rsidR="00051B88">
              <w:rPr>
                <w:color w:val="000000" w:themeColor="text1"/>
              </w:rPr>
              <w:t xml:space="preserve"> on behalf of Audit Scotland</w:t>
            </w:r>
            <w:r>
              <w:rPr>
                <w:color w:val="000000" w:themeColor="text1"/>
              </w:rPr>
              <w:t>, and the Chair and DW declared themselves as members of the AAB for the reported body.</w:t>
            </w:r>
          </w:p>
          <w:p w:rsidR="009353FE" w:rsidRPr="00E65A16" w:rsidRDefault="00397D5C" w:rsidP="0070720C">
            <w:pPr>
              <w:spacing w:before="120" w:after="120" w:line="300" w:lineRule="auto"/>
              <w:rPr>
                <w:color w:val="000000" w:themeColor="text1"/>
              </w:rPr>
            </w:pPr>
            <w:r w:rsidRPr="00E65A16">
              <w:rPr>
                <w:color w:val="000000" w:themeColor="text1"/>
              </w:rPr>
              <w:t>There were no additional matter</w:t>
            </w:r>
            <w:r w:rsidR="00DF5559" w:rsidRPr="00E65A16">
              <w:rPr>
                <w:color w:val="000000" w:themeColor="text1"/>
              </w:rPr>
              <w:t>s</w:t>
            </w:r>
            <w:r w:rsidRPr="00E65A16">
              <w:rPr>
                <w:color w:val="000000" w:themeColor="text1"/>
              </w:rPr>
              <w:t xml:space="preserve"> for declaration, other than already noted on the published Declarations of Interest.</w:t>
            </w:r>
          </w:p>
        </w:tc>
        <w:tc>
          <w:tcPr>
            <w:tcW w:w="1559" w:type="dxa"/>
            <w:shd w:val="clear" w:color="auto" w:fill="auto"/>
          </w:tcPr>
          <w:p w:rsidR="009353FE" w:rsidRPr="009A5A53" w:rsidRDefault="009353FE" w:rsidP="009353FE">
            <w:pPr>
              <w:spacing w:before="120" w:after="120" w:line="300" w:lineRule="auto"/>
              <w:rPr>
                <w:color w:val="000000" w:themeColor="text1"/>
              </w:rPr>
            </w:pPr>
          </w:p>
        </w:tc>
        <w:tc>
          <w:tcPr>
            <w:tcW w:w="992" w:type="dxa"/>
            <w:shd w:val="clear" w:color="auto" w:fill="auto"/>
          </w:tcPr>
          <w:p w:rsidR="009353FE" w:rsidRPr="009A5A53" w:rsidRDefault="009353FE" w:rsidP="009353FE">
            <w:pPr>
              <w:spacing w:before="120" w:after="120" w:line="300" w:lineRule="auto"/>
              <w:rPr>
                <w:color w:val="000000" w:themeColor="text1"/>
              </w:rPr>
            </w:pPr>
          </w:p>
        </w:tc>
        <w:tc>
          <w:tcPr>
            <w:tcW w:w="956" w:type="dxa"/>
            <w:shd w:val="clear" w:color="auto" w:fill="auto"/>
          </w:tcPr>
          <w:p w:rsidR="009353FE" w:rsidRDefault="009353FE" w:rsidP="0016777E">
            <w:pPr>
              <w:spacing w:before="120" w:after="120" w:line="300" w:lineRule="auto"/>
              <w:rPr>
                <w:color w:val="000000" w:themeColor="text1"/>
              </w:rPr>
            </w:pPr>
          </w:p>
        </w:tc>
      </w:tr>
      <w:tr w:rsidR="0016777E" w:rsidRPr="009A5A53" w:rsidTr="00A16EED">
        <w:tc>
          <w:tcPr>
            <w:tcW w:w="704" w:type="dxa"/>
          </w:tcPr>
          <w:p w:rsidR="009353FE" w:rsidRPr="009A5A53" w:rsidRDefault="00B05DC7" w:rsidP="00A16EED">
            <w:pPr>
              <w:spacing w:before="120" w:after="120" w:line="300" w:lineRule="auto"/>
              <w:jc w:val="center"/>
              <w:rPr>
                <w:color w:val="000000" w:themeColor="text1"/>
              </w:rPr>
            </w:pPr>
            <w:r>
              <w:rPr>
                <w:color w:val="000000" w:themeColor="text1"/>
              </w:rPr>
              <w:t>3</w:t>
            </w:r>
            <w:r w:rsidR="009353FE" w:rsidRPr="009A5A53">
              <w:rPr>
                <w:color w:val="000000" w:themeColor="text1"/>
              </w:rPr>
              <w:t>.</w:t>
            </w:r>
          </w:p>
        </w:tc>
        <w:tc>
          <w:tcPr>
            <w:tcW w:w="1985" w:type="dxa"/>
          </w:tcPr>
          <w:p w:rsidR="009353FE" w:rsidRPr="009A5A53" w:rsidRDefault="009353FE" w:rsidP="00D9051C">
            <w:pPr>
              <w:spacing w:before="120" w:after="120" w:line="300" w:lineRule="auto"/>
              <w:rPr>
                <w:color w:val="000000" w:themeColor="text1"/>
              </w:rPr>
            </w:pPr>
            <w:r>
              <w:rPr>
                <w:color w:val="auto"/>
                <w:lang w:eastAsia="en-US"/>
              </w:rPr>
              <w:t>Previous note</w:t>
            </w:r>
            <w:r w:rsidR="00D9051C">
              <w:rPr>
                <w:color w:val="auto"/>
                <w:lang w:eastAsia="en-US"/>
              </w:rPr>
              <w:t>s</w:t>
            </w:r>
            <w:r w:rsidRPr="001F1BBD">
              <w:rPr>
                <w:color w:val="auto"/>
                <w:lang w:eastAsia="en-US"/>
              </w:rPr>
              <w:t xml:space="preserve">, </w:t>
            </w:r>
            <w:r w:rsidR="00D9051C" w:rsidRPr="001F1BBD">
              <w:rPr>
                <w:color w:val="auto"/>
                <w:lang w:eastAsia="en-US"/>
              </w:rPr>
              <w:t xml:space="preserve">outstanding </w:t>
            </w:r>
            <w:r w:rsidR="00D9051C">
              <w:rPr>
                <w:color w:val="auto"/>
                <w:lang w:eastAsia="en-US"/>
              </w:rPr>
              <w:t>action points</w:t>
            </w:r>
          </w:p>
        </w:tc>
        <w:tc>
          <w:tcPr>
            <w:tcW w:w="7796" w:type="dxa"/>
          </w:tcPr>
          <w:p w:rsidR="00053483" w:rsidRPr="008D3D80" w:rsidRDefault="009353FE" w:rsidP="00051B88">
            <w:pPr>
              <w:pStyle w:val="ListParagraph"/>
              <w:numPr>
                <w:ilvl w:val="0"/>
                <w:numId w:val="35"/>
              </w:numPr>
              <w:spacing w:before="120" w:after="120" w:line="300" w:lineRule="auto"/>
              <w:rPr>
                <w:color w:val="000000" w:themeColor="text1"/>
              </w:rPr>
            </w:pPr>
            <w:r w:rsidRPr="008D3D80">
              <w:rPr>
                <w:color w:val="000000" w:themeColor="text1"/>
              </w:rPr>
              <w:t>The previous note</w:t>
            </w:r>
            <w:r w:rsidR="00397D5C" w:rsidRPr="008D3D80">
              <w:rPr>
                <w:color w:val="000000" w:themeColor="text1"/>
              </w:rPr>
              <w:t>s and outstanding actions were reviewed</w:t>
            </w:r>
            <w:r w:rsidR="00E65A16" w:rsidRPr="008D3D80">
              <w:rPr>
                <w:color w:val="000000" w:themeColor="text1"/>
              </w:rPr>
              <w:t>.  T</w:t>
            </w:r>
            <w:r w:rsidR="00397D5C" w:rsidRPr="008D3D80">
              <w:rPr>
                <w:color w:val="000000" w:themeColor="text1"/>
              </w:rPr>
              <w:t>here were no additional matters arising from the review</w:t>
            </w:r>
            <w:r w:rsidRPr="008D3D80">
              <w:rPr>
                <w:color w:val="000000" w:themeColor="text1"/>
              </w:rPr>
              <w:t>.</w:t>
            </w:r>
          </w:p>
        </w:tc>
        <w:tc>
          <w:tcPr>
            <w:tcW w:w="1559" w:type="dxa"/>
            <w:shd w:val="clear" w:color="auto" w:fill="auto"/>
          </w:tcPr>
          <w:p w:rsidR="009353FE" w:rsidRPr="009353FE" w:rsidRDefault="009353FE" w:rsidP="009353FE">
            <w:pPr>
              <w:spacing w:before="120" w:after="120" w:line="300" w:lineRule="auto"/>
              <w:rPr>
                <w:sz w:val="21"/>
                <w:szCs w:val="21"/>
              </w:rPr>
            </w:pPr>
          </w:p>
        </w:tc>
        <w:tc>
          <w:tcPr>
            <w:tcW w:w="992" w:type="dxa"/>
            <w:shd w:val="clear" w:color="auto" w:fill="auto"/>
          </w:tcPr>
          <w:p w:rsidR="009353FE" w:rsidRPr="009A5A53" w:rsidRDefault="009353FE" w:rsidP="009353FE">
            <w:pPr>
              <w:spacing w:before="120" w:after="120" w:line="300" w:lineRule="auto"/>
              <w:rPr>
                <w:color w:val="000000" w:themeColor="text1"/>
              </w:rPr>
            </w:pPr>
          </w:p>
        </w:tc>
        <w:tc>
          <w:tcPr>
            <w:tcW w:w="956" w:type="dxa"/>
            <w:shd w:val="clear" w:color="auto" w:fill="auto"/>
          </w:tcPr>
          <w:p w:rsidR="009353FE" w:rsidRPr="009A5A53" w:rsidRDefault="009353FE" w:rsidP="0016777E">
            <w:pPr>
              <w:spacing w:before="120" w:after="120" w:line="300" w:lineRule="auto"/>
              <w:rPr>
                <w:color w:val="000000" w:themeColor="text1"/>
              </w:rPr>
            </w:pPr>
          </w:p>
        </w:tc>
      </w:tr>
      <w:tr w:rsidR="00E65A16" w:rsidRPr="009A5A53" w:rsidTr="00A16EED">
        <w:tc>
          <w:tcPr>
            <w:tcW w:w="704" w:type="dxa"/>
          </w:tcPr>
          <w:p w:rsidR="00E65A16" w:rsidRPr="009A5A53" w:rsidRDefault="00E65A16" w:rsidP="00A16EED">
            <w:pPr>
              <w:spacing w:before="120" w:after="120" w:line="300" w:lineRule="auto"/>
              <w:jc w:val="center"/>
              <w:rPr>
                <w:color w:val="000000" w:themeColor="text1"/>
              </w:rPr>
            </w:pPr>
            <w:r w:rsidRPr="009A5A53">
              <w:rPr>
                <w:color w:val="000000" w:themeColor="text1"/>
              </w:rPr>
              <w:t>3.</w:t>
            </w:r>
          </w:p>
        </w:tc>
        <w:tc>
          <w:tcPr>
            <w:tcW w:w="1985" w:type="dxa"/>
            <w:shd w:val="clear" w:color="auto" w:fill="auto"/>
          </w:tcPr>
          <w:p w:rsidR="00E65A16" w:rsidRPr="009A5A53" w:rsidRDefault="00E65A16" w:rsidP="0088033D">
            <w:pPr>
              <w:spacing w:before="120" w:after="120" w:line="300" w:lineRule="auto"/>
              <w:rPr>
                <w:color w:val="000000" w:themeColor="text1"/>
              </w:rPr>
            </w:pPr>
            <w:r>
              <w:rPr>
                <w:lang w:eastAsia="en-US"/>
              </w:rPr>
              <w:t>Financial report</w:t>
            </w:r>
          </w:p>
        </w:tc>
        <w:tc>
          <w:tcPr>
            <w:tcW w:w="7796" w:type="dxa"/>
          </w:tcPr>
          <w:p w:rsidR="00051B88" w:rsidRPr="007B4D97" w:rsidRDefault="008D3D80" w:rsidP="00403A0F">
            <w:pPr>
              <w:pStyle w:val="ListParagraph"/>
              <w:numPr>
                <w:ilvl w:val="0"/>
                <w:numId w:val="34"/>
              </w:numPr>
              <w:spacing w:before="120" w:after="120" w:line="300" w:lineRule="auto"/>
              <w:rPr>
                <w:color w:val="000000" w:themeColor="text1"/>
              </w:rPr>
            </w:pPr>
            <w:r w:rsidRPr="007B4D97">
              <w:rPr>
                <w:color w:val="000000" w:themeColor="text1"/>
              </w:rPr>
              <w:t>The Director provided background for</w:t>
            </w:r>
            <w:r w:rsidR="00051B88" w:rsidRPr="007B4D97">
              <w:rPr>
                <w:color w:val="000000" w:themeColor="text1"/>
              </w:rPr>
              <w:t xml:space="preserve"> significant variances of expenditure against budget.</w:t>
            </w:r>
            <w:r w:rsidR="007B4D97" w:rsidRPr="007B4D97">
              <w:rPr>
                <w:color w:val="000000" w:themeColor="text1"/>
              </w:rPr>
              <w:t xml:space="preserve">  </w:t>
            </w:r>
            <w:r w:rsidR="00051B88" w:rsidRPr="007B4D97">
              <w:rPr>
                <w:color w:val="000000" w:themeColor="text1"/>
              </w:rPr>
              <w:t xml:space="preserve">The </w:t>
            </w:r>
            <w:r w:rsidR="007B4D97">
              <w:rPr>
                <w:color w:val="000000" w:themeColor="text1"/>
              </w:rPr>
              <w:t>staffing</w:t>
            </w:r>
            <w:r w:rsidR="007B4D97" w:rsidRPr="007B4D97">
              <w:rPr>
                <w:color w:val="000000" w:themeColor="text1"/>
              </w:rPr>
              <w:t xml:space="preserve"> </w:t>
            </w:r>
            <w:r w:rsidR="00051B88" w:rsidRPr="007B4D97">
              <w:rPr>
                <w:color w:val="000000" w:themeColor="text1"/>
              </w:rPr>
              <w:t xml:space="preserve">underspend was mainly due to resourcing issues.  </w:t>
            </w:r>
            <w:r w:rsidR="007B4D97">
              <w:rPr>
                <w:color w:val="000000" w:themeColor="text1"/>
              </w:rPr>
              <w:t xml:space="preserve">Throughout </w:t>
            </w:r>
            <w:r w:rsidR="007B4D97" w:rsidRPr="007B4D97">
              <w:rPr>
                <w:color w:val="000000" w:themeColor="text1"/>
              </w:rPr>
              <w:t>2021</w:t>
            </w:r>
            <w:r w:rsidR="007B4D97">
              <w:rPr>
                <w:color w:val="000000" w:themeColor="text1"/>
              </w:rPr>
              <w:t xml:space="preserve">, SPSO faced a </w:t>
            </w:r>
            <w:r w:rsidR="00051B88" w:rsidRPr="007B4D97">
              <w:rPr>
                <w:color w:val="000000" w:themeColor="text1"/>
              </w:rPr>
              <w:t>challenging recruitment</w:t>
            </w:r>
            <w:r w:rsidR="007B4D97">
              <w:rPr>
                <w:color w:val="000000" w:themeColor="text1"/>
              </w:rPr>
              <w:t xml:space="preserve"> environment</w:t>
            </w:r>
            <w:r w:rsidR="00051B88" w:rsidRPr="007B4D97">
              <w:rPr>
                <w:color w:val="000000" w:themeColor="text1"/>
              </w:rPr>
              <w:t xml:space="preserve">, </w:t>
            </w:r>
            <w:r w:rsidR="007B4D97">
              <w:rPr>
                <w:color w:val="000000" w:themeColor="text1"/>
              </w:rPr>
              <w:t xml:space="preserve">as </w:t>
            </w:r>
            <w:r w:rsidR="007B4D97" w:rsidRPr="007B4D97">
              <w:rPr>
                <w:color w:val="000000" w:themeColor="text1"/>
              </w:rPr>
              <w:t>reflected</w:t>
            </w:r>
            <w:r w:rsidR="00051B88" w:rsidRPr="007B4D97">
              <w:rPr>
                <w:color w:val="000000" w:themeColor="text1"/>
              </w:rPr>
              <w:t xml:space="preserve"> across the public sector.  Overtime was offered to provide </w:t>
            </w:r>
            <w:r w:rsidR="007B4D97">
              <w:rPr>
                <w:color w:val="000000" w:themeColor="text1"/>
              </w:rPr>
              <w:t xml:space="preserve">additional </w:t>
            </w:r>
            <w:r w:rsidR="00051B88" w:rsidRPr="007B4D97">
              <w:rPr>
                <w:color w:val="000000" w:themeColor="text1"/>
              </w:rPr>
              <w:t xml:space="preserve">resource, but this </w:t>
            </w:r>
            <w:r w:rsidR="007B4D97" w:rsidRPr="007B4D97">
              <w:rPr>
                <w:color w:val="000000" w:themeColor="text1"/>
              </w:rPr>
              <w:t>did</w:t>
            </w:r>
            <w:r w:rsidR="00051B88" w:rsidRPr="007B4D97">
              <w:rPr>
                <w:color w:val="000000" w:themeColor="text1"/>
              </w:rPr>
              <w:t xml:space="preserve"> not completely cover the shortfall </w:t>
            </w:r>
            <w:r w:rsidR="007B4D97">
              <w:rPr>
                <w:color w:val="000000" w:themeColor="text1"/>
              </w:rPr>
              <w:t xml:space="preserve">created by vacancies </w:t>
            </w:r>
            <w:r w:rsidR="00051B88" w:rsidRPr="007B4D97">
              <w:rPr>
                <w:color w:val="000000" w:themeColor="text1"/>
              </w:rPr>
              <w:t xml:space="preserve">which resulted in </w:t>
            </w:r>
            <w:r w:rsidR="007B4D97">
              <w:rPr>
                <w:color w:val="000000" w:themeColor="text1"/>
              </w:rPr>
              <w:t xml:space="preserve">a </w:t>
            </w:r>
            <w:r w:rsidR="00051B88" w:rsidRPr="007B4D97">
              <w:rPr>
                <w:color w:val="000000" w:themeColor="text1"/>
              </w:rPr>
              <w:t xml:space="preserve">further slowdown in </w:t>
            </w:r>
            <w:r w:rsidR="007B4D97">
              <w:rPr>
                <w:color w:val="000000" w:themeColor="text1"/>
              </w:rPr>
              <w:t xml:space="preserve">overall </w:t>
            </w:r>
            <w:r w:rsidR="00051B88" w:rsidRPr="007B4D97">
              <w:rPr>
                <w:color w:val="000000" w:themeColor="text1"/>
              </w:rPr>
              <w:t>case progression</w:t>
            </w:r>
            <w:r w:rsidR="007B4D97">
              <w:rPr>
                <w:color w:val="000000" w:themeColor="text1"/>
              </w:rPr>
              <w:t>, on top of the 2020 lock-down related backlog</w:t>
            </w:r>
            <w:r w:rsidR="00051B88" w:rsidRPr="007B4D97">
              <w:rPr>
                <w:color w:val="000000" w:themeColor="text1"/>
              </w:rPr>
              <w:t xml:space="preserve">.  This, in turn, </w:t>
            </w:r>
            <w:r w:rsidR="007B4D97">
              <w:rPr>
                <w:color w:val="000000" w:themeColor="text1"/>
              </w:rPr>
              <w:t xml:space="preserve">led to </w:t>
            </w:r>
            <w:r w:rsidR="00051B88" w:rsidRPr="007B4D97">
              <w:rPr>
                <w:color w:val="000000" w:themeColor="text1"/>
              </w:rPr>
              <w:t>a reduc</w:t>
            </w:r>
            <w:r w:rsidR="007B4D97" w:rsidRPr="007B4D97">
              <w:rPr>
                <w:color w:val="000000" w:themeColor="text1"/>
              </w:rPr>
              <w:t xml:space="preserve">tion in </w:t>
            </w:r>
            <w:r w:rsidR="00051B88" w:rsidRPr="007B4D97">
              <w:rPr>
                <w:color w:val="000000" w:themeColor="text1"/>
              </w:rPr>
              <w:t xml:space="preserve">requirements for professional advice on casework, leading to an underspend in that area of the budget. </w:t>
            </w:r>
          </w:p>
          <w:p w:rsidR="00E65A16" w:rsidRPr="00051B88" w:rsidRDefault="00051B88" w:rsidP="00051B88">
            <w:pPr>
              <w:pStyle w:val="ListParagraph"/>
              <w:numPr>
                <w:ilvl w:val="0"/>
                <w:numId w:val="34"/>
              </w:numPr>
              <w:spacing w:before="120" w:after="120" w:line="300" w:lineRule="auto"/>
              <w:rPr>
                <w:color w:val="000000" w:themeColor="text1"/>
              </w:rPr>
            </w:pPr>
            <w:r>
              <w:rPr>
                <w:color w:val="000000" w:themeColor="text1"/>
              </w:rPr>
              <w:t>The resulting underspend allowed the budget to absorb other unbudgeted expenditure such as maternity leave, cost of living increase, and requirements for the implementation o</w:t>
            </w:r>
            <w:r w:rsidR="007B4D97">
              <w:rPr>
                <w:color w:val="000000" w:themeColor="text1"/>
              </w:rPr>
              <w:t>f hybrid working arrangements.</w:t>
            </w:r>
          </w:p>
          <w:p w:rsidR="00E65A16" w:rsidRDefault="00E65A16" w:rsidP="005E7625">
            <w:pPr>
              <w:pStyle w:val="ListParagraph"/>
              <w:numPr>
                <w:ilvl w:val="0"/>
                <w:numId w:val="34"/>
              </w:numPr>
              <w:spacing w:before="120" w:after="120" w:line="300" w:lineRule="auto"/>
              <w:rPr>
                <w:color w:val="000000" w:themeColor="text1"/>
              </w:rPr>
            </w:pPr>
            <w:r w:rsidRPr="005E7625">
              <w:rPr>
                <w:color w:val="000000" w:themeColor="text1"/>
              </w:rPr>
              <w:t>The AAB noted the predicted year-end financial position outlined in the report</w:t>
            </w:r>
            <w:r w:rsidR="00051B88">
              <w:rPr>
                <w:color w:val="000000" w:themeColor="text1"/>
              </w:rPr>
              <w:t>, and the amount of approved budget that will not be drawn down</w:t>
            </w:r>
            <w:r w:rsidRPr="005E7625">
              <w:rPr>
                <w:color w:val="000000" w:themeColor="text1"/>
              </w:rPr>
              <w:t>.</w:t>
            </w:r>
          </w:p>
          <w:p w:rsidR="008D3D80" w:rsidRPr="008D3D80" w:rsidRDefault="008D3D80" w:rsidP="00051B88">
            <w:pPr>
              <w:pStyle w:val="ListParagraph"/>
              <w:numPr>
                <w:ilvl w:val="0"/>
                <w:numId w:val="34"/>
              </w:numPr>
              <w:spacing w:before="120" w:after="120" w:line="300" w:lineRule="auto"/>
              <w:rPr>
                <w:color w:val="000000" w:themeColor="text1"/>
              </w:rPr>
            </w:pPr>
            <w:r>
              <w:rPr>
                <w:color w:val="000000" w:themeColor="text1"/>
              </w:rPr>
              <w:t xml:space="preserve">The Chair noted the </w:t>
            </w:r>
            <w:r w:rsidR="00051B88">
              <w:rPr>
                <w:color w:val="000000" w:themeColor="text1"/>
              </w:rPr>
              <w:t>improved 10-day payment performance.</w:t>
            </w:r>
          </w:p>
        </w:tc>
        <w:tc>
          <w:tcPr>
            <w:tcW w:w="1559" w:type="dxa"/>
          </w:tcPr>
          <w:p w:rsidR="00E65A16" w:rsidRPr="00A16EED" w:rsidRDefault="00E65A16" w:rsidP="00A16EED">
            <w:pPr>
              <w:spacing w:before="120" w:after="120" w:line="300" w:lineRule="auto"/>
              <w:rPr>
                <w:color w:val="000000" w:themeColor="text1"/>
              </w:rPr>
            </w:pPr>
          </w:p>
        </w:tc>
        <w:tc>
          <w:tcPr>
            <w:tcW w:w="992" w:type="dxa"/>
          </w:tcPr>
          <w:p w:rsidR="00E65A16" w:rsidRPr="009A5A53" w:rsidRDefault="00E65A16" w:rsidP="0088033D">
            <w:pPr>
              <w:spacing w:before="120" w:after="120" w:line="300" w:lineRule="auto"/>
              <w:rPr>
                <w:color w:val="000000" w:themeColor="text1"/>
              </w:rPr>
            </w:pPr>
          </w:p>
        </w:tc>
        <w:tc>
          <w:tcPr>
            <w:tcW w:w="956" w:type="dxa"/>
          </w:tcPr>
          <w:p w:rsidR="00E65A16" w:rsidRPr="009A5A53" w:rsidRDefault="00E65A16" w:rsidP="0088033D">
            <w:pPr>
              <w:spacing w:before="120" w:after="120" w:line="300" w:lineRule="auto"/>
              <w:rPr>
                <w:color w:val="000000" w:themeColor="text1"/>
              </w:rPr>
            </w:pPr>
          </w:p>
        </w:tc>
      </w:tr>
      <w:tr w:rsidR="00B05DC7" w:rsidRPr="009A5A53" w:rsidTr="00A16E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 w:type="dxa"/>
          </w:tcPr>
          <w:p w:rsidR="00B05DC7" w:rsidRPr="009A5A53" w:rsidRDefault="00B05DC7" w:rsidP="00A16EED">
            <w:pPr>
              <w:spacing w:before="120" w:after="120" w:line="300" w:lineRule="auto"/>
              <w:jc w:val="center"/>
              <w:rPr>
                <w:color w:val="000000" w:themeColor="text1"/>
              </w:rPr>
            </w:pPr>
            <w:r w:rsidRPr="009A5A53">
              <w:rPr>
                <w:color w:val="000000" w:themeColor="text1"/>
              </w:rPr>
              <w:t>4.</w:t>
            </w:r>
          </w:p>
        </w:tc>
        <w:tc>
          <w:tcPr>
            <w:tcW w:w="1985" w:type="dxa"/>
          </w:tcPr>
          <w:p w:rsidR="00B05DC7" w:rsidRPr="009A5A53" w:rsidRDefault="00B05DC7" w:rsidP="001D3E6A">
            <w:pPr>
              <w:spacing w:before="120" w:after="120" w:line="300" w:lineRule="auto"/>
              <w:rPr>
                <w:color w:val="000000" w:themeColor="text1"/>
              </w:rPr>
            </w:pPr>
            <w:r>
              <w:rPr>
                <w:lang w:eastAsia="en-US"/>
              </w:rPr>
              <w:t>External Audit report</w:t>
            </w:r>
          </w:p>
        </w:tc>
        <w:tc>
          <w:tcPr>
            <w:tcW w:w="7796" w:type="dxa"/>
          </w:tcPr>
          <w:p w:rsidR="007E7056" w:rsidRPr="007E7056" w:rsidRDefault="007E7056" w:rsidP="007E7056">
            <w:pPr>
              <w:spacing w:before="120" w:after="120" w:line="300" w:lineRule="auto"/>
              <w:rPr>
                <w:b/>
                <w:color w:val="000000" w:themeColor="text1"/>
              </w:rPr>
            </w:pPr>
            <w:r w:rsidRPr="007E7056">
              <w:rPr>
                <w:b/>
                <w:color w:val="000000" w:themeColor="text1"/>
              </w:rPr>
              <w:t xml:space="preserve">External Auditor’s </w:t>
            </w:r>
            <w:r w:rsidR="0033142D">
              <w:rPr>
                <w:b/>
                <w:color w:val="000000" w:themeColor="text1"/>
              </w:rPr>
              <w:t>Report 20</w:t>
            </w:r>
            <w:r w:rsidRPr="007E7056">
              <w:rPr>
                <w:b/>
                <w:color w:val="000000" w:themeColor="text1"/>
              </w:rPr>
              <w:t>20</w:t>
            </w:r>
            <w:r w:rsidR="0033142D">
              <w:rPr>
                <w:b/>
                <w:color w:val="000000" w:themeColor="text1"/>
              </w:rPr>
              <w:t>-21</w:t>
            </w:r>
          </w:p>
          <w:p w:rsidR="00051B88" w:rsidRDefault="008D3D80" w:rsidP="008D3D80">
            <w:pPr>
              <w:pStyle w:val="ListParagraph"/>
              <w:numPr>
                <w:ilvl w:val="0"/>
                <w:numId w:val="37"/>
              </w:numPr>
              <w:spacing w:before="120" w:after="120" w:line="300" w:lineRule="auto"/>
              <w:rPr>
                <w:color w:val="000000" w:themeColor="text1"/>
              </w:rPr>
            </w:pPr>
            <w:r>
              <w:rPr>
                <w:color w:val="000000" w:themeColor="text1"/>
              </w:rPr>
              <w:t xml:space="preserve">The External Auditor </w:t>
            </w:r>
            <w:r w:rsidR="00051B88">
              <w:rPr>
                <w:color w:val="000000" w:themeColor="text1"/>
              </w:rPr>
              <w:t>noted this was the last year of Deloitte’s appointment to SPSO.</w:t>
            </w:r>
            <w:r w:rsidR="007B4D97">
              <w:rPr>
                <w:color w:val="000000" w:themeColor="text1"/>
              </w:rPr>
              <w:t xml:space="preserve">  SPSO have been informed that Audit Scotland will be the appointed auditors for the next period.</w:t>
            </w:r>
          </w:p>
          <w:p w:rsidR="00051B88" w:rsidRDefault="00051B88" w:rsidP="008D3D80">
            <w:pPr>
              <w:pStyle w:val="ListParagraph"/>
              <w:numPr>
                <w:ilvl w:val="0"/>
                <w:numId w:val="37"/>
              </w:numPr>
              <w:spacing w:before="120" w:after="120" w:line="300" w:lineRule="auto"/>
              <w:rPr>
                <w:color w:val="000000" w:themeColor="text1"/>
              </w:rPr>
            </w:pPr>
            <w:r>
              <w:rPr>
                <w:color w:val="000000" w:themeColor="text1"/>
              </w:rPr>
              <w:t xml:space="preserve">The </w:t>
            </w:r>
            <w:r w:rsidR="007B4D97">
              <w:rPr>
                <w:color w:val="000000" w:themeColor="text1"/>
              </w:rPr>
              <w:t xml:space="preserve">2021-22 </w:t>
            </w:r>
            <w:r>
              <w:rPr>
                <w:color w:val="000000" w:themeColor="text1"/>
              </w:rPr>
              <w:t>audit plan submitted is in line with previous years.  A risk assessment was undertaken in light of findings elsewhere, and it was considered the restricted wider scope remained appropriate, as was the materiality threshold, taking account of previous discussions.  The Auditor commended the plan for submission to Audit Scotland.</w:t>
            </w:r>
          </w:p>
          <w:p w:rsidR="00051B88" w:rsidRDefault="00051B88" w:rsidP="008D3D80">
            <w:pPr>
              <w:pStyle w:val="ListParagraph"/>
              <w:numPr>
                <w:ilvl w:val="0"/>
                <w:numId w:val="37"/>
              </w:numPr>
              <w:spacing w:before="120" w:after="120" w:line="300" w:lineRule="auto"/>
              <w:rPr>
                <w:color w:val="000000" w:themeColor="text1"/>
              </w:rPr>
            </w:pPr>
            <w:r>
              <w:rPr>
                <w:color w:val="000000" w:themeColor="text1"/>
              </w:rPr>
              <w:t>The meeting went on to discuss the SPSO response to the Audit Scotland Section 22 report</w:t>
            </w:r>
            <w:r w:rsidR="000523BC">
              <w:rPr>
                <w:color w:val="000000" w:themeColor="text1"/>
              </w:rPr>
              <w:t xml:space="preserve"> on another organisation</w:t>
            </w:r>
            <w:r>
              <w:rPr>
                <w:color w:val="000000" w:themeColor="text1"/>
              </w:rPr>
              <w:t xml:space="preserve">.  The AAB noted it was thorough, and </w:t>
            </w:r>
            <w:r w:rsidR="000523BC">
              <w:rPr>
                <w:color w:val="000000" w:themeColor="text1"/>
              </w:rPr>
              <w:t>commended the SPSO for the prompt proactive approach</w:t>
            </w:r>
            <w:r>
              <w:rPr>
                <w:color w:val="000000" w:themeColor="text1"/>
              </w:rPr>
              <w:t xml:space="preserve">, the evidence provided, and clear actions identified; demonstrating a willingness to </w:t>
            </w:r>
            <w:r w:rsidR="000523BC">
              <w:rPr>
                <w:color w:val="000000" w:themeColor="text1"/>
              </w:rPr>
              <w:t>reflect and learn as an</w:t>
            </w:r>
            <w:r>
              <w:rPr>
                <w:color w:val="000000" w:themeColor="text1"/>
              </w:rPr>
              <w:t xml:space="preserve"> organisation.  </w:t>
            </w:r>
          </w:p>
          <w:p w:rsidR="00B05DC7" w:rsidRPr="0033142D" w:rsidRDefault="00051B88" w:rsidP="006C49D3">
            <w:pPr>
              <w:pStyle w:val="ListParagraph"/>
              <w:numPr>
                <w:ilvl w:val="0"/>
                <w:numId w:val="37"/>
              </w:numPr>
              <w:spacing w:before="120" w:after="120" w:line="300" w:lineRule="auto"/>
              <w:rPr>
                <w:color w:val="000000" w:themeColor="text1"/>
              </w:rPr>
            </w:pPr>
            <w:r w:rsidRPr="00051B88">
              <w:rPr>
                <w:color w:val="000000" w:themeColor="text1"/>
              </w:rPr>
              <w:t>The AAB asked the Ombudsman to expand on how the organisation allowed concerns to be aired within the organisation, which she</w:t>
            </w:r>
            <w:r w:rsidR="006C49D3">
              <w:rPr>
                <w:color w:val="000000" w:themeColor="text1"/>
              </w:rPr>
              <w:t xml:space="preserve"> responded to with detailed explanations.</w:t>
            </w:r>
            <w:r w:rsidRPr="00051B88">
              <w:rPr>
                <w:color w:val="000000" w:themeColor="text1"/>
              </w:rPr>
              <w:t xml:space="preserve">  The Ombudsman </w:t>
            </w:r>
            <w:r w:rsidR="000523BC">
              <w:rPr>
                <w:color w:val="000000" w:themeColor="text1"/>
              </w:rPr>
              <w:t>confirmed that</w:t>
            </w:r>
            <w:r w:rsidRPr="00051B88">
              <w:rPr>
                <w:color w:val="000000" w:themeColor="text1"/>
              </w:rPr>
              <w:t xml:space="preserve"> the Leadership took comfort from examples where staff have approached members of the LT to discuss concerns directly.  </w:t>
            </w:r>
            <w:r w:rsidR="007B4D97">
              <w:rPr>
                <w:color w:val="000000" w:themeColor="text1"/>
              </w:rPr>
              <w:t>She noted that, a</w:t>
            </w:r>
            <w:r w:rsidRPr="00051B88">
              <w:rPr>
                <w:color w:val="000000" w:themeColor="text1"/>
              </w:rPr>
              <w:t>s a body that scrutinises other bodies, it is important to reflect on the work and apply the lessons to our own organisation.</w:t>
            </w:r>
          </w:p>
        </w:tc>
        <w:tc>
          <w:tcPr>
            <w:tcW w:w="1559" w:type="dxa"/>
          </w:tcPr>
          <w:p w:rsidR="00B05DC7" w:rsidRPr="009A5A53" w:rsidRDefault="00B05DC7" w:rsidP="001D3E6A">
            <w:pPr>
              <w:spacing w:before="120" w:after="120" w:line="300" w:lineRule="auto"/>
              <w:rPr>
                <w:color w:val="000000" w:themeColor="text1"/>
              </w:rPr>
            </w:pPr>
          </w:p>
        </w:tc>
        <w:tc>
          <w:tcPr>
            <w:tcW w:w="992" w:type="dxa"/>
          </w:tcPr>
          <w:p w:rsidR="00B05DC7" w:rsidRPr="009A5A53" w:rsidRDefault="00B05DC7" w:rsidP="001D3E6A">
            <w:pPr>
              <w:spacing w:before="120" w:after="120" w:line="300" w:lineRule="auto"/>
              <w:rPr>
                <w:color w:val="000000" w:themeColor="text1"/>
              </w:rPr>
            </w:pPr>
          </w:p>
        </w:tc>
        <w:tc>
          <w:tcPr>
            <w:tcW w:w="956" w:type="dxa"/>
          </w:tcPr>
          <w:p w:rsidR="00B05DC7" w:rsidRPr="009A5A53" w:rsidRDefault="00B05DC7" w:rsidP="001D3E6A">
            <w:pPr>
              <w:spacing w:before="120" w:after="120" w:line="300" w:lineRule="auto"/>
              <w:rPr>
                <w:color w:val="000000" w:themeColor="text1"/>
              </w:rPr>
            </w:pPr>
          </w:p>
        </w:tc>
      </w:tr>
      <w:tr w:rsidR="0016777E" w:rsidRPr="009A5A53" w:rsidTr="00A16EED">
        <w:tc>
          <w:tcPr>
            <w:tcW w:w="704" w:type="dxa"/>
          </w:tcPr>
          <w:p w:rsidR="009353FE" w:rsidRPr="009A5A53" w:rsidRDefault="009353FE" w:rsidP="00A16EED">
            <w:pPr>
              <w:spacing w:before="120" w:after="120" w:line="300" w:lineRule="auto"/>
              <w:jc w:val="center"/>
              <w:rPr>
                <w:color w:val="000000" w:themeColor="text1"/>
              </w:rPr>
            </w:pPr>
            <w:r w:rsidRPr="009A5A53">
              <w:rPr>
                <w:color w:val="000000" w:themeColor="text1"/>
              </w:rPr>
              <w:t>5.</w:t>
            </w:r>
          </w:p>
        </w:tc>
        <w:tc>
          <w:tcPr>
            <w:tcW w:w="1985" w:type="dxa"/>
            <w:shd w:val="clear" w:color="auto" w:fill="auto"/>
          </w:tcPr>
          <w:p w:rsidR="009353FE" w:rsidRPr="009A5A53" w:rsidRDefault="009353FE" w:rsidP="009353FE">
            <w:pPr>
              <w:spacing w:before="120" w:after="120" w:line="300" w:lineRule="auto"/>
              <w:rPr>
                <w:color w:val="000000" w:themeColor="text1"/>
              </w:rPr>
            </w:pPr>
            <w:r>
              <w:rPr>
                <w:lang w:eastAsia="en-US"/>
              </w:rPr>
              <w:t>Internal Audit report</w:t>
            </w:r>
          </w:p>
        </w:tc>
        <w:tc>
          <w:tcPr>
            <w:tcW w:w="7796" w:type="dxa"/>
          </w:tcPr>
          <w:p w:rsidR="00051B88" w:rsidRDefault="0033142D" w:rsidP="008D3D80">
            <w:pPr>
              <w:pStyle w:val="ListParagraph"/>
              <w:numPr>
                <w:ilvl w:val="0"/>
                <w:numId w:val="38"/>
              </w:numPr>
              <w:spacing w:before="120" w:after="120" w:line="300" w:lineRule="auto"/>
              <w:rPr>
                <w:color w:val="000000" w:themeColor="text1"/>
              </w:rPr>
            </w:pPr>
            <w:r w:rsidRPr="008D3D80">
              <w:rPr>
                <w:color w:val="000000" w:themeColor="text1"/>
              </w:rPr>
              <w:t>T</w:t>
            </w:r>
            <w:r w:rsidR="007E7056" w:rsidRPr="008D3D80">
              <w:rPr>
                <w:color w:val="000000" w:themeColor="text1"/>
              </w:rPr>
              <w:t xml:space="preserve">he Internal Auditor </w:t>
            </w:r>
            <w:r w:rsidRPr="008D3D80">
              <w:rPr>
                <w:color w:val="000000" w:themeColor="text1"/>
              </w:rPr>
              <w:t xml:space="preserve">presented </w:t>
            </w:r>
            <w:r w:rsidR="00051B88">
              <w:rPr>
                <w:color w:val="000000" w:themeColor="text1"/>
              </w:rPr>
              <w:t>the final reports on Health and Safety, Performance Management and Follow-up Review activities.</w:t>
            </w:r>
          </w:p>
          <w:p w:rsidR="00CD7A69" w:rsidRDefault="00CD7A69" w:rsidP="008D3D80">
            <w:pPr>
              <w:pStyle w:val="ListParagraph"/>
              <w:numPr>
                <w:ilvl w:val="0"/>
                <w:numId w:val="38"/>
              </w:numPr>
              <w:spacing w:before="120" w:after="120" w:line="300" w:lineRule="auto"/>
              <w:rPr>
                <w:color w:val="000000" w:themeColor="text1"/>
              </w:rPr>
            </w:pPr>
            <w:r>
              <w:rPr>
                <w:color w:val="000000" w:themeColor="text1"/>
              </w:rPr>
              <w:t xml:space="preserve">The AAB asked the Ombudsman to expand on the working-from-home health and safety measures that had been put in place, and </w:t>
            </w:r>
            <w:r w:rsidR="007B4D97">
              <w:rPr>
                <w:color w:val="000000" w:themeColor="text1"/>
              </w:rPr>
              <w:t>her</w:t>
            </w:r>
            <w:r>
              <w:rPr>
                <w:color w:val="000000" w:themeColor="text1"/>
              </w:rPr>
              <w:t xml:space="preserve"> response included referencing video assessments for DSE, contributions to home office set-ups, additional support and communication opportunities with management, </w:t>
            </w:r>
            <w:r w:rsidR="000523BC">
              <w:rPr>
                <w:color w:val="000000" w:themeColor="text1"/>
              </w:rPr>
              <w:t xml:space="preserve">additional support and wellbeing arrangements </w:t>
            </w:r>
            <w:r>
              <w:rPr>
                <w:color w:val="000000" w:themeColor="text1"/>
              </w:rPr>
              <w:t>and additional staff surveys specifically addressing the new working conditions.</w:t>
            </w:r>
          </w:p>
          <w:p w:rsidR="00CD7A69" w:rsidRDefault="00CD7A69" w:rsidP="008D3D80">
            <w:pPr>
              <w:pStyle w:val="ListParagraph"/>
              <w:numPr>
                <w:ilvl w:val="0"/>
                <w:numId w:val="38"/>
              </w:numPr>
              <w:spacing w:before="120" w:after="120" w:line="300" w:lineRule="auto"/>
              <w:rPr>
                <w:color w:val="000000" w:themeColor="text1"/>
              </w:rPr>
            </w:pPr>
            <w:r>
              <w:rPr>
                <w:color w:val="000000" w:themeColor="text1"/>
              </w:rPr>
              <w:t>The AAB asked the Auditor to explain the overall findings on the performance management report, taking into consideration the findings and actions re</w:t>
            </w:r>
            <w:r w:rsidR="007B4D97">
              <w:rPr>
                <w:color w:val="000000" w:themeColor="text1"/>
              </w:rPr>
              <w:t>commended, and whether there had been</w:t>
            </w:r>
            <w:r>
              <w:rPr>
                <w:color w:val="000000" w:themeColor="text1"/>
              </w:rPr>
              <w:t xml:space="preserve"> sufficient time to undertake such a broad activity.  The Auditor explained that while there were several actions, they were mostly graded as low and mostly related to administrative tasks.  The Ombudsman provided context explaining the additional demands on the HR department during lockdown, </w:t>
            </w:r>
            <w:r w:rsidR="007B4D97">
              <w:rPr>
                <w:color w:val="000000" w:themeColor="text1"/>
              </w:rPr>
              <w:t xml:space="preserve">including </w:t>
            </w:r>
            <w:r>
              <w:rPr>
                <w:color w:val="000000" w:themeColor="text1"/>
              </w:rPr>
              <w:t>the requirement to focus on staff support and well-being and increased recruitment activities</w:t>
            </w:r>
            <w:r w:rsidR="007B4D97">
              <w:rPr>
                <w:color w:val="000000" w:themeColor="text1"/>
              </w:rPr>
              <w:t>,</w:t>
            </w:r>
            <w:r>
              <w:rPr>
                <w:color w:val="000000" w:themeColor="text1"/>
              </w:rPr>
              <w:t xml:space="preserve"> meant some administrative tasks were not able to have the follow-up</w:t>
            </w:r>
            <w:r w:rsidR="007B4D97">
              <w:rPr>
                <w:color w:val="000000" w:themeColor="text1"/>
              </w:rPr>
              <w:t xml:space="preserve"> that </w:t>
            </w:r>
            <w:r>
              <w:rPr>
                <w:color w:val="000000" w:themeColor="text1"/>
              </w:rPr>
              <w:t>was</w:t>
            </w:r>
            <w:r w:rsidR="000523BC">
              <w:rPr>
                <w:color w:val="000000" w:themeColor="text1"/>
              </w:rPr>
              <w:t xml:space="preserve">, ideally, </w:t>
            </w:r>
            <w:r>
              <w:rPr>
                <w:color w:val="000000" w:themeColor="text1"/>
              </w:rPr>
              <w:t xml:space="preserve">required.  Additional resource has now been added to the HR </w:t>
            </w:r>
            <w:r w:rsidR="000523BC">
              <w:rPr>
                <w:color w:val="000000" w:themeColor="text1"/>
              </w:rPr>
              <w:t xml:space="preserve">function </w:t>
            </w:r>
            <w:r>
              <w:rPr>
                <w:color w:val="000000" w:themeColor="text1"/>
              </w:rPr>
              <w:t xml:space="preserve">and </w:t>
            </w:r>
            <w:r w:rsidR="000523BC">
              <w:rPr>
                <w:color w:val="000000" w:themeColor="text1"/>
              </w:rPr>
              <w:t>improved</w:t>
            </w:r>
            <w:r>
              <w:rPr>
                <w:color w:val="000000" w:themeColor="text1"/>
              </w:rPr>
              <w:t xml:space="preserve"> record-keeping will be a priority going forwards.  The Auditor confirmed that with the tools used there was sufficient time to conclude the activity effectively, and observations were based on the current organisation intentions.</w:t>
            </w:r>
          </w:p>
          <w:p w:rsidR="00CD7A69" w:rsidRDefault="00CD7A69" w:rsidP="008D3D80">
            <w:pPr>
              <w:pStyle w:val="ListParagraph"/>
              <w:numPr>
                <w:ilvl w:val="0"/>
                <w:numId w:val="38"/>
              </w:numPr>
              <w:spacing w:before="120" w:after="120" w:line="300" w:lineRule="auto"/>
              <w:rPr>
                <w:color w:val="000000" w:themeColor="text1"/>
              </w:rPr>
            </w:pPr>
            <w:r>
              <w:rPr>
                <w:color w:val="000000" w:themeColor="text1"/>
              </w:rPr>
              <w:t>The Auditor shared the 2022-23 Activity Plan, and the AAB discussed the focus and the number of days allocated of some activities.  The Auditor accepted the recommended changes and will assess the day requirements when the detailed scope has been prepared.  The AAB confirmed they were content with the plan.</w:t>
            </w:r>
          </w:p>
          <w:p w:rsidR="006D63BE" w:rsidRPr="00CD7A69" w:rsidRDefault="00CD7A69" w:rsidP="00CD7A69">
            <w:pPr>
              <w:pStyle w:val="ListParagraph"/>
              <w:numPr>
                <w:ilvl w:val="0"/>
                <w:numId w:val="38"/>
              </w:numPr>
              <w:spacing w:before="120" w:after="120" w:line="300" w:lineRule="auto"/>
              <w:rPr>
                <w:color w:val="000000" w:themeColor="text1"/>
              </w:rPr>
            </w:pPr>
            <w:r>
              <w:rPr>
                <w:color w:val="000000" w:themeColor="text1"/>
              </w:rPr>
              <w:t xml:space="preserve">The AAB welcomed the feedback survey </w:t>
            </w:r>
            <w:r w:rsidR="007B4D97">
              <w:rPr>
                <w:color w:val="000000" w:themeColor="text1"/>
              </w:rPr>
              <w:t xml:space="preserve">for internal audit activities </w:t>
            </w:r>
            <w:r>
              <w:rPr>
                <w:color w:val="000000" w:themeColor="text1"/>
              </w:rPr>
              <w:t>and asked that this qualitative measure be added to the list of KPIs and the results reported in the Internal Audit Assurance report.</w:t>
            </w:r>
          </w:p>
        </w:tc>
        <w:tc>
          <w:tcPr>
            <w:tcW w:w="1559" w:type="dxa"/>
          </w:tcPr>
          <w:p w:rsidR="007E7056" w:rsidRPr="007E7056" w:rsidRDefault="007E7056" w:rsidP="008D3D80">
            <w:pPr>
              <w:pStyle w:val="ListParagraph"/>
              <w:spacing w:before="120" w:after="120" w:line="300" w:lineRule="auto"/>
              <w:ind w:left="360"/>
              <w:rPr>
                <w:color w:val="000000" w:themeColor="text1"/>
              </w:rPr>
            </w:pPr>
          </w:p>
        </w:tc>
        <w:tc>
          <w:tcPr>
            <w:tcW w:w="992" w:type="dxa"/>
          </w:tcPr>
          <w:p w:rsidR="009353FE" w:rsidRPr="007E7056" w:rsidRDefault="009353FE" w:rsidP="007E7056">
            <w:pPr>
              <w:spacing w:before="120" w:after="120" w:line="300" w:lineRule="auto"/>
              <w:rPr>
                <w:color w:val="000000" w:themeColor="text1"/>
              </w:rPr>
            </w:pPr>
          </w:p>
        </w:tc>
        <w:tc>
          <w:tcPr>
            <w:tcW w:w="956" w:type="dxa"/>
          </w:tcPr>
          <w:p w:rsidR="007E7056" w:rsidRPr="007E7056" w:rsidRDefault="007E7056" w:rsidP="008D3D80">
            <w:pPr>
              <w:pStyle w:val="ListParagraph"/>
              <w:spacing w:before="120" w:after="120" w:line="300" w:lineRule="auto"/>
              <w:ind w:left="360"/>
              <w:rPr>
                <w:color w:val="000000" w:themeColor="text1"/>
              </w:rPr>
            </w:pPr>
          </w:p>
        </w:tc>
      </w:tr>
      <w:tr w:rsidR="0016777E" w:rsidRPr="009A5A53" w:rsidTr="00A16EED">
        <w:tc>
          <w:tcPr>
            <w:tcW w:w="704" w:type="dxa"/>
          </w:tcPr>
          <w:p w:rsidR="009353FE" w:rsidRPr="009A5A53" w:rsidRDefault="009353FE" w:rsidP="00A16EED">
            <w:pPr>
              <w:spacing w:before="120" w:after="120" w:line="300" w:lineRule="auto"/>
              <w:jc w:val="center"/>
              <w:rPr>
                <w:color w:val="000000" w:themeColor="text1"/>
              </w:rPr>
            </w:pPr>
            <w:r w:rsidRPr="009A5A53">
              <w:rPr>
                <w:color w:val="000000" w:themeColor="text1"/>
              </w:rPr>
              <w:t>6.</w:t>
            </w:r>
          </w:p>
        </w:tc>
        <w:tc>
          <w:tcPr>
            <w:tcW w:w="1985" w:type="dxa"/>
            <w:shd w:val="clear" w:color="auto" w:fill="auto"/>
          </w:tcPr>
          <w:p w:rsidR="009353FE" w:rsidRPr="009A5A53" w:rsidRDefault="009353FE" w:rsidP="009353FE">
            <w:pPr>
              <w:spacing w:before="120" w:after="120" w:line="300" w:lineRule="auto"/>
              <w:rPr>
                <w:color w:val="000000" w:themeColor="text1"/>
              </w:rPr>
            </w:pPr>
            <w:r>
              <w:rPr>
                <w:lang w:eastAsia="en-US"/>
              </w:rPr>
              <w:t>Risk, Incident and Issues report; including Business Plan performance.</w:t>
            </w:r>
          </w:p>
        </w:tc>
        <w:tc>
          <w:tcPr>
            <w:tcW w:w="7796" w:type="dxa"/>
          </w:tcPr>
          <w:p w:rsidR="00CD7A69" w:rsidRDefault="007E7056" w:rsidP="008D3D80">
            <w:pPr>
              <w:pStyle w:val="ListParagraph"/>
              <w:numPr>
                <w:ilvl w:val="0"/>
                <w:numId w:val="39"/>
              </w:numPr>
              <w:spacing w:before="120" w:after="120" w:line="300" w:lineRule="auto"/>
              <w:rPr>
                <w:color w:val="000000" w:themeColor="text1"/>
              </w:rPr>
            </w:pPr>
            <w:r w:rsidRPr="008D3D80">
              <w:rPr>
                <w:color w:val="000000" w:themeColor="text1"/>
              </w:rPr>
              <w:t xml:space="preserve">The </w:t>
            </w:r>
            <w:r w:rsidR="008D3D80">
              <w:rPr>
                <w:color w:val="000000" w:themeColor="text1"/>
              </w:rPr>
              <w:t>Ombudsman</w:t>
            </w:r>
            <w:r w:rsidR="00CD7A69">
              <w:rPr>
                <w:color w:val="000000" w:themeColor="text1"/>
              </w:rPr>
              <w:t xml:space="preserve"> shared the new approach that SPSO will be taking to expressing the Risk Appetite, </w:t>
            </w:r>
            <w:r w:rsidR="000523BC">
              <w:rPr>
                <w:color w:val="000000" w:themeColor="text1"/>
              </w:rPr>
              <w:t>which draws on</w:t>
            </w:r>
            <w:r w:rsidR="00CD7A69">
              <w:rPr>
                <w:color w:val="000000" w:themeColor="text1"/>
              </w:rPr>
              <w:t xml:space="preserve"> UK Gov</w:t>
            </w:r>
            <w:r w:rsidR="000523BC">
              <w:rPr>
                <w:color w:val="000000" w:themeColor="text1"/>
              </w:rPr>
              <w:t xml:space="preserve"> guidance that underpins the</w:t>
            </w:r>
            <w:r w:rsidR="00CD7A69">
              <w:rPr>
                <w:color w:val="000000" w:themeColor="text1"/>
              </w:rPr>
              <w:t xml:space="preserve"> </w:t>
            </w:r>
            <w:r w:rsidR="000523BC">
              <w:rPr>
                <w:color w:val="000000" w:themeColor="text1"/>
              </w:rPr>
              <w:t>‘</w:t>
            </w:r>
            <w:r w:rsidR="00CD7A69">
              <w:rPr>
                <w:color w:val="000000" w:themeColor="text1"/>
              </w:rPr>
              <w:t>Orange Book</w:t>
            </w:r>
            <w:r w:rsidR="000523BC">
              <w:rPr>
                <w:color w:val="000000" w:themeColor="text1"/>
              </w:rPr>
              <w:t>’</w:t>
            </w:r>
            <w:r w:rsidR="006C49D3">
              <w:rPr>
                <w:color w:val="000000" w:themeColor="text1"/>
              </w:rPr>
              <w:t>.</w:t>
            </w:r>
          </w:p>
          <w:p w:rsidR="00C34678" w:rsidRPr="007B4D97" w:rsidRDefault="00CD7A69" w:rsidP="007B4D97">
            <w:pPr>
              <w:pStyle w:val="ListParagraph"/>
              <w:numPr>
                <w:ilvl w:val="0"/>
                <w:numId w:val="39"/>
              </w:numPr>
              <w:spacing w:before="120" w:after="120" w:line="300" w:lineRule="auto"/>
              <w:rPr>
                <w:color w:val="000000" w:themeColor="text1"/>
              </w:rPr>
            </w:pPr>
            <w:r>
              <w:rPr>
                <w:color w:val="000000" w:themeColor="text1"/>
              </w:rPr>
              <w:t>The AAB noted the direction of travel for articulating risk, and will be very interested to see how it will be applied to organisation decision-making.  The AAB also suggested taking account of the risk encompassing public and stakeholder expectations of performance, and the reputational, scrutiny and oversight risk this may pose to the organisation.</w:t>
            </w:r>
          </w:p>
        </w:tc>
        <w:tc>
          <w:tcPr>
            <w:tcW w:w="1559" w:type="dxa"/>
          </w:tcPr>
          <w:p w:rsidR="009353FE" w:rsidRPr="009A5A53" w:rsidRDefault="009353FE" w:rsidP="009353FE">
            <w:pPr>
              <w:spacing w:before="120" w:after="120" w:line="300" w:lineRule="auto"/>
              <w:rPr>
                <w:color w:val="000000" w:themeColor="text1"/>
              </w:rPr>
            </w:pPr>
          </w:p>
        </w:tc>
        <w:tc>
          <w:tcPr>
            <w:tcW w:w="992" w:type="dxa"/>
          </w:tcPr>
          <w:p w:rsidR="009353FE" w:rsidRPr="009A5A53" w:rsidRDefault="009353FE" w:rsidP="009353FE">
            <w:pPr>
              <w:spacing w:before="120" w:after="120" w:line="300" w:lineRule="auto"/>
              <w:rPr>
                <w:color w:val="000000" w:themeColor="text1"/>
              </w:rPr>
            </w:pPr>
          </w:p>
        </w:tc>
        <w:tc>
          <w:tcPr>
            <w:tcW w:w="956" w:type="dxa"/>
          </w:tcPr>
          <w:p w:rsidR="009353FE" w:rsidRPr="009A5A53" w:rsidRDefault="009353FE" w:rsidP="009353FE">
            <w:pPr>
              <w:spacing w:before="120" w:after="120" w:line="300" w:lineRule="auto"/>
              <w:rPr>
                <w:color w:val="000000" w:themeColor="text1"/>
              </w:rPr>
            </w:pPr>
          </w:p>
        </w:tc>
      </w:tr>
      <w:tr w:rsidR="00492C4E" w:rsidRPr="009A5A53" w:rsidTr="00A16EED">
        <w:tc>
          <w:tcPr>
            <w:tcW w:w="704" w:type="dxa"/>
          </w:tcPr>
          <w:p w:rsidR="00492C4E" w:rsidRPr="009A5A53" w:rsidRDefault="00492C4E" w:rsidP="00A16EED">
            <w:pPr>
              <w:spacing w:before="120" w:after="120" w:line="300" w:lineRule="auto"/>
              <w:jc w:val="center"/>
              <w:rPr>
                <w:color w:val="000000" w:themeColor="text1"/>
              </w:rPr>
            </w:pPr>
          </w:p>
        </w:tc>
        <w:tc>
          <w:tcPr>
            <w:tcW w:w="1985" w:type="dxa"/>
          </w:tcPr>
          <w:p w:rsidR="00492C4E" w:rsidRPr="009A5A53" w:rsidRDefault="00492C4E" w:rsidP="009353FE">
            <w:pPr>
              <w:spacing w:before="120" w:after="120" w:line="300" w:lineRule="auto"/>
              <w:rPr>
                <w:color w:val="000000" w:themeColor="text1"/>
              </w:rPr>
            </w:pPr>
          </w:p>
        </w:tc>
        <w:tc>
          <w:tcPr>
            <w:tcW w:w="7796" w:type="dxa"/>
          </w:tcPr>
          <w:p w:rsidR="00492C4E" w:rsidRDefault="008D3D80" w:rsidP="008D3D80">
            <w:pPr>
              <w:pStyle w:val="ListParagraph"/>
              <w:spacing w:before="120" w:after="120" w:line="300" w:lineRule="auto"/>
              <w:ind w:left="0"/>
              <w:rPr>
                <w:color w:val="000000" w:themeColor="text1"/>
              </w:rPr>
            </w:pPr>
            <w:r>
              <w:rPr>
                <w:color w:val="000000" w:themeColor="text1"/>
              </w:rPr>
              <w:t xml:space="preserve">The Chair closed the </w:t>
            </w:r>
            <w:r w:rsidR="007B4D97">
              <w:rPr>
                <w:color w:val="000000" w:themeColor="text1"/>
              </w:rPr>
              <w:t>general</w:t>
            </w:r>
            <w:r w:rsidR="00CD7A69">
              <w:rPr>
                <w:color w:val="000000" w:themeColor="text1"/>
              </w:rPr>
              <w:t xml:space="preserve"> </w:t>
            </w:r>
            <w:r>
              <w:rPr>
                <w:color w:val="000000" w:themeColor="text1"/>
              </w:rPr>
              <w:t>meeting</w:t>
            </w:r>
            <w:r w:rsidR="00CD7A69">
              <w:rPr>
                <w:color w:val="000000" w:themeColor="text1"/>
              </w:rPr>
              <w:t>, to undertake the AAB self-assessment exercise in private</w:t>
            </w:r>
            <w:r>
              <w:rPr>
                <w:color w:val="000000" w:themeColor="text1"/>
              </w:rPr>
              <w:t>.</w:t>
            </w:r>
          </w:p>
        </w:tc>
        <w:tc>
          <w:tcPr>
            <w:tcW w:w="1559" w:type="dxa"/>
          </w:tcPr>
          <w:p w:rsidR="00492C4E" w:rsidRPr="009A5A53" w:rsidRDefault="00492C4E" w:rsidP="009353FE">
            <w:pPr>
              <w:spacing w:before="120" w:after="120" w:line="300" w:lineRule="auto"/>
              <w:rPr>
                <w:color w:val="000000" w:themeColor="text1"/>
              </w:rPr>
            </w:pPr>
          </w:p>
        </w:tc>
        <w:tc>
          <w:tcPr>
            <w:tcW w:w="992" w:type="dxa"/>
          </w:tcPr>
          <w:p w:rsidR="00492C4E" w:rsidRPr="009A5A53" w:rsidRDefault="00492C4E" w:rsidP="00057905">
            <w:pPr>
              <w:spacing w:before="120" w:after="120" w:line="300" w:lineRule="auto"/>
              <w:rPr>
                <w:color w:val="000000" w:themeColor="text1"/>
              </w:rPr>
            </w:pPr>
          </w:p>
        </w:tc>
        <w:tc>
          <w:tcPr>
            <w:tcW w:w="956" w:type="dxa"/>
          </w:tcPr>
          <w:p w:rsidR="00492C4E" w:rsidRPr="009A5A53" w:rsidRDefault="00492C4E" w:rsidP="009353FE">
            <w:pPr>
              <w:spacing w:before="120" w:after="120" w:line="300" w:lineRule="auto"/>
              <w:rPr>
                <w:color w:val="000000" w:themeColor="text1"/>
              </w:rPr>
            </w:pPr>
          </w:p>
        </w:tc>
      </w:tr>
    </w:tbl>
    <w:p w:rsidR="00897EFA" w:rsidRDefault="00897EFA" w:rsidP="00897EFA">
      <w:pPr>
        <w:spacing w:before="120" w:after="120" w:line="300" w:lineRule="auto"/>
      </w:pPr>
    </w:p>
    <w:p w:rsidR="00766477" w:rsidRDefault="00897EFA" w:rsidP="00364E3F">
      <w:pPr>
        <w:spacing w:before="120" w:after="120" w:line="300" w:lineRule="auto"/>
      </w:pPr>
      <w:r w:rsidRPr="00805D71">
        <w:t xml:space="preserve">Approved for publication </w:t>
      </w:r>
      <w:r w:rsidR="00805D71" w:rsidRPr="00805D71">
        <w:t xml:space="preserve">08 </w:t>
      </w:r>
      <w:r w:rsidR="00CD7A69" w:rsidRPr="00805D71">
        <w:t>April 2022</w:t>
      </w:r>
    </w:p>
    <w:p w:rsidR="0068500C" w:rsidRPr="00E8567A" w:rsidRDefault="00E14757" w:rsidP="00E14757">
      <w:pPr>
        <w:spacing w:before="120" w:after="120" w:line="300" w:lineRule="auto"/>
      </w:pPr>
      <w:r w:rsidRPr="00E14757">
        <w:rPr>
          <w:b/>
        </w:rPr>
        <w:t>Andy Shaw, Chair</w:t>
      </w:r>
    </w:p>
    <w:sectPr w:rsidR="0068500C" w:rsidRPr="00E8567A" w:rsidSect="00F7487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8B" w:rsidRDefault="00B34A8B">
      <w:pPr>
        <w:spacing w:line="240" w:lineRule="auto"/>
      </w:pPr>
      <w:r>
        <w:separator/>
      </w:r>
    </w:p>
  </w:endnote>
  <w:endnote w:type="continuationSeparator" w:id="0">
    <w:p w:rsidR="00B34A8B" w:rsidRDefault="00B34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B4" w:rsidRDefault="00670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F7487F" w:rsidRDefault="00DD43C5" w:rsidP="00F7487F">
    <w:pPr>
      <w:pStyle w:val="Footer"/>
      <w:tabs>
        <w:tab w:val="clear" w:pos="4153"/>
        <w:tab w:val="clear" w:pos="8306"/>
        <w:tab w:val="center" w:pos="4500"/>
        <w:tab w:val="right" w:pos="9000"/>
      </w:tabs>
      <w:jc w:val="center"/>
      <w:rPr>
        <w:color w:val="63B0BB"/>
        <w:sz w:val="20"/>
      </w:rPr>
    </w:pPr>
    <w:r w:rsidRPr="00F7487F">
      <w:rPr>
        <w:color w:val="63B0BB"/>
        <w:sz w:val="20"/>
      </w:rPr>
      <w:t xml:space="preserve">Page </w:t>
    </w:r>
    <w:r w:rsidRPr="00F7487F">
      <w:rPr>
        <w:b/>
        <w:color w:val="63B0BB"/>
        <w:sz w:val="20"/>
      </w:rPr>
      <w:fldChar w:fldCharType="begin"/>
    </w:r>
    <w:r w:rsidRPr="00F7487F">
      <w:rPr>
        <w:b/>
        <w:color w:val="63B0BB"/>
        <w:sz w:val="20"/>
      </w:rPr>
      <w:instrText xml:space="preserve"> PAGE  \* Arabic  \* MERGEFORMAT </w:instrText>
    </w:r>
    <w:r w:rsidRPr="00F7487F">
      <w:rPr>
        <w:b/>
        <w:color w:val="63B0BB"/>
        <w:sz w:val="20"/>
      </w:rPr>
      <w:fldChar w:fldCharType="separate"/>
    </w:r>
    <w:r w:rsidR="00D025DE">
      <w:rPr>
        <w:b/>
        <w:noProof/>
        <w:color w:val="63B0BB"/>
        <w:sz w:val="20"/>
      </w:rPr>
      <w:t>5</w:t>
    </w:r>
    <w:r w:rsidRPr="00F7487F">
      <w:rPr>
        <w:b/>
        <w:color w:val="63B0BB"/>
        <w:sz w:val="20"/>
      </w:rPr>
      <w:fldChar w:fldCharType="end"/>
    </w:r>
    <w:r w:rsidRPr="00F7487F">
      <w:rPr>
        <w:color w:val="63B0BB"/>
        <w:sz w:val="20"/>
      </w:rPr>
      <w:t xml:space="preserve"> of </w:t>
    </w:r>
    <w:r w:rsidRPr="00F7487F">
      <w:rPr>
        <w:b/>
        <w:color w:val="63B0BB"/>
        <w:sz w:val="20"/>
      </w:rPr>
      <w:fldChar w:fldCharType="begin"/>
    </w:r>
    <w:r w:rsidRPr="00F7487F">
      <w:rPr>
        <w:b/>
        <w:color w:val="63B0BB"/>
        <w:sz w:val="20"/>
      </w:rPr>
      <w:instrText xml:space="preserve"> NUMPAGES  \* Arabic  \* MERGEFORMAT </w:instrText>
    </w:r>
    <w:r w:rsidRPr="00F7487F">
      <w:rPr>
        <w:b/>
        <w:color w:val="63B0BB"/>
        <w:sz w:val="20"/>
      </w:rPr>
      <w:fldChar w:fldCharType="separate"/>
    </w:r>
    <w:r w:rsidR="00D025DE">
      <w:rPr>
        <w:b/>
        <w:noProof/>
        <w:color w:val="63B0BB"/>
        <w:sz w:val="20"/>
      </w:rPr>
      <w:t>5</w:t>
    </w:r>
    <w:r w:rsidRPr="00F7487F">
      <w:rPr>
        <w:b/>
        <w:color w:val="63B0B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7F" w:rsidRPr="004E7229" w:rsidRDefault="00F7487F" w:rsidP="00F7487F">
    <w:pPr>
      <w:pStyle w:val="Footer"/>
      <w:tabs>
        <w:tab w:val="clear" w:pos="4153"/>
        <w:tab w:val="clear" w:pos="8306"/>
        <w:tab w:val="center" w:pos="4500"/>
        <w:tab w:val="right" w:pos="9000"/>
      </w:tabs>
      <w:jc w:val="center"/>
      <w:rPr>
        <w:color w:val="000000" w:themeColor="text1"/>
        <w:sz w:val="20"/>
      </w:rPr>
    </w:pPr>
    <w:r w:rsidRPr="004E7229">
      <w:rPr>
        <w:color w:val="000000" w:themeColor="text1"/>
        <w:sz w:val="20"/>
      </w:rPr>
      <w:t xml:space="preserve">Page </w:t>
    </w:r>
    <w:r w:rsidRPr="004E7229">
      <w:rPr>
        <w:b/>
        <w:color w:val="000000" w:themeColor="text1"/>
        <w:sz w:val="20"/>
      </w:rPr>
      <w:fldChar w:fldCharType="begin"/>
    </w:r>
    <w:r w:rsidRPr="004E7229">
      <w:rPr>
        <w:b/>
        <w:color w:val="000000" w:themeColor="text1"/>
        <w:sz w:val="20"/>
      </w:rPr>
      <w:instrText xml:space="preserve"> PAGE  \* Arabic  \* MERGEFORMAT </w:instrText>
    </w:r>
    <w:r w:rsidRPr="004E7229">
      <w:rPr>
        <w:b/>
        <w:color w:val="000000" w:themeColor="text1"/>
        <w:sz w:val="20"/>
      </w:rPr>
      <w:fldChar w:fldCharType="separate"/>
    </w:r>
    <w:r w:rsidR="00D025DE">
      <w:rPr>
        <w:b/>
        <w:noProof/>
        <w:color w:val="000000" w:themeColor="text1"/>
        <w:sz w:val="20"/>
      </w:rPr>
      <w:t>1</w:t>
    </w:r>
    <w:r w:rsidRPr="004E7229">
      <w:rPr>
        <w:b/>
        <w:color w:val="000000" w:themeColor="text1"/>
        <w:sz w:val="20"/>
      </w:rPr>
      <w:fldChar w:fldCharType="end"/>
    </w:r>
    <w:r w:rsidRPr="004E7229">
      <w:rPr>
        <w:color w:val="000000" w:themeColor="text1"/>
        <w:sz w:val="20"/>
      </w:rPr>
      <w:t xml:space="preserve"> of </w:t>
    </w:r>
    <w:r w:rsidRPr="004E7229">
      <w:rPr>
        <w:b/>
        <w:color w:val="000000" w:themeColor="text1"/>
        <w:sz w:val="20"/>
      </w:rPr>
      <w:fldChar w:fldCharType="begin"/>
    </w:r>
    <w:r w:rsidRPr="004E7229">
      <w:rPr>
        <w:b/>
        <w:color w:val="000000" w:themeColor="text1"/>
        <w:sz w:val="20"/>
      </w:rPr>
      <w:instrText xml:space="preserve"> NUMPAGES  \* Arabic  \* MERGEFORMAT </w:instrText>
    </w:r>
    <w:r w:rsidRPr="004E7229">
      <w:rPr>
        <w:b/>
        <w:color w:val="000000" w:themeColor="text1"/>
        <w:sz w:val="20"/>
      </w:rPr>
      <w:fldChar w:fldCharType="separate"/>
    </w:r>
    <w:r w:rsidR="00D025DE">
      <w:rPr>
        <w:b/>
        <w:noProof/>
        <w:color w:val="000000" w:themeColor="text1"/>
        <w:sz w:val="20"/>
      </w:rPr>
      <w:t>5</w:t>
    </w:r>
    <w:r w:rsidRPr="004E7229">
      <w:rPr>
        <w:b/>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8B" w:rsidRDefault="00B34A8B">
      <w:pPr>
        <w:spacing w:line="240" w:lineRule="auto"/>
      </w:pPr>
      <w:r>
        <w:separator/>
      </w:r>
    </w:p>
  </w:footnote>
  <w:footnote w:type="continuationSeparator" w:id="0">
    <w:p w:rsidR="00B34A8B" w:rsidRDefault="00B34A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B4" w:rsidRDefault="00670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AF1FD6" w:rsidP="00AF1FD6">
    <w:pPr>
      <w:pStyle w:val="Header"/>
      <w:tabs>
        <w:tab w:val="clear" w:pos="4153"/>
        <w:tab w:val="clear" w:pos="8306"/>
        <w:tab w:val="center" w:pos="4500"/>
        <w:tab w:val="right" w:pos="9000"/>
      </w:tabs>
      <w:jc w:val="right"/>
      <w:rPr>
        <w:sz w:val="20"/>
      </w:rPr>
    </w:pPr>
    <w:r>
      <w:rPr>
        <w:noProof/>
      </w:rPr>
      <w:drawing>
        <wp:anchor distT="0" distB="0" distL="114300" distR="114300" simplePos="0" relativeHeight="251657728" behindDoc="1" locked="0" layoutInCell="1" allowOverlap="1" wp14:anchorId="5BA4E729" wp14:editId="6044F99E">
          <wp:simplePos x="0" y="0"/>
          <wp:positionH relativeFrom="margin">
            <wp:align>right</wp:align>
          </wp:positionH>
          <wp:positionV relativeFrom="page">
            <wp:posOffset>180340</wp:posOffset>
          </wp:positionV>
          <wp:extent cx="673200" cy="482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header.eps"/>
                  <pic:cNvPicPr/>
                </pic:nvPicPr>
                <pic:blipFill>
                  <a:blip r:embed="rId1">
                    <a:extLst>
                      <a:ext uri="{28A0092B-C50C-407E-A947-70E740481C1C}">
                        <a14:useLocalDpi xmlns:a14="http://schemas.microsoft.com/office/drawing/2010/main" val="0"/>
                      </a:ext>
                    </a:extLst>
                  </a:blip>
                  <a:stretch>
                    <a:fillRect/>
                  </a:stretch>
                </pic:blipFill>
                <pic:spPr>
                  <a:xfrm>
                    <a:off x="0" y="0"/>
                    <a:ext cx="673200" cy="4824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D6" w:rsidRPr="00D27136" w:rsidRDefault="00AF1FD6">
    <w:pPr>
      <w:pStyle w:val="Header"/>
      <w:rPr>
        <w:sz w:val="20"/>
        <w:szCs w:val="20"/>
      </w:rPr>
    </w:pPr>
    <w:r w:rsidRPr="00D27136">
      <w:rPr>
        <w:rFonts w:ascii="Calibri" w:eastAsia="Times New Roman" w:hAnsi="Calibri" w:cs="Times New Roman"/>
        <w:noProof/>
        <w:color w:val="auto"/>
        <w:sz w:val="20"/>
        <w:szCs w:val="20"/>
      </w:rPr>
      <w:drawing>
        <wp:anchor distT="0" distB="0" distL="114300" distR="114300" simplePos="0" relativeHeight="251656704" behindDoc="0" locked="0" layoutInCell="1" allowOverlap="1" wp14:anchorId="5129078D" wp14:editId="2E138E4E">
          <wp:simplePos x="0" y="0"/>
          <wp:positionH relativeFrom="margin">
            <wp:align>right</wp:align>
          </wp:positionH>
          <wp:positionV relativeFrom="page">
            <wp:posOffset>180340</wp:posOffset>
          </wp:positionV>
          <wp:extent cx="1706400" cy="1144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1144800"/>
                  </a:xfrm>
                  <a:prstGeom prst="rect">
                    <a:avLst/>
                  </a:prstGeom>
                  <a:noFill/>
                </pic:spPr>
              </pic:pic>
            </a:graphicData>
          </a:graphic>
          <wp14:sizeRelH relativeFrom="margin">
            <wp14:pctWidth>0</wp14:pctWidth>
          </wp14:sizeRelH>
          <wp14:sizeRelV relativeFrom="margin">
            <wp14:pctHeight>0</wp14:pctHeight>
          </wp14:sizeRelV>
        </wp:anchor>
      </w:drawing>
    </w:r>
    <w:r w:rsidR="000B52BC" w:rsidRPr="00D27136">
      <w:rPr>
        <w:sz w:val="20"/>
        <w:szCs w:val="20"/>
      </w:rPr>
      <w:t>Paper 2  Advisory Audit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B1366D"/>
    <w:multiLevelType w:val="hybridMultilevel"/>
    <w:tmpl w:val="861A2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40DEB"/>
    <w:multiLevelType w:val="hybridMultilevel"/>
    <w:tmpl w:val="15DA8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02407"/>
    <w:multiLevelType w:val="hybridMultilevel"/>
    <w:tmpl w:val="4C4A3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31F42"/>
    <w:multiLevelType w:val="hybridMultilevel"/>
    <w:tmpl w:val="69BA6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AC380B"/>
    <w:multiLevelType w:val="multilevel"/>
    <w:tmpl w:val="69D8F934"/>
    <w:styleLink w:val="RA"/>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6" w15:restartNumberingAfterBreak="0">
    <w:nsid w:val="26857C48"/>
    <w:multiLevelType w:val="hybridMultilevel"/>
    <w:tmpl w:val="5F329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CC09D0"/>
    <w:multiLevelType w:val="hybridMultilevel"/>
    <w:tmpl w:val="56C411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831B85"/>
    <w:multiLevelType w:val="hybridMultilevel"/>
    <w:tmpl w:val="C64C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00D48"/>
    <w:multiLevelType w:val="hybridMultilevel"/>
    <w:tmpl w:val="BBAA0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242F0E"/>
    <w:multiLevelType w:val="multilevel"/>
    <w:tmpl w:val="69D8F934"/>
    <w:numStyleLink w:val="RA"/>
  </w:abstractNum>
  <w:abstractNum w:abstractNumId="11" w15:restartNumberingAfterBreak="0">
    <w:nsid w:val="46363D5B"/>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FC4947"/>
    <w:multiLevelType w:val="hybridMultilevel"/>
    <w:tmpl w:val="FE222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EB4201"/>
    <w:multiLevelType w:val="hybridMultilevel"/>
    <w:tmpl w:val="5D3EA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525CB"/>
    <w:multiLevelType w:val="hybridMultilevel"/>
    <w:tmpl w:val="22347C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BE086B"/>
    <w:multiLevelType w:val="hybridMultilevel"/>
    <w:tmpl w:val="9A6491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622177"/>
    <w:multiLevelType w:val="hybridMultilevel"/>
    <w:tmpl w:val="5D3EA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131892"/>
    <w:multiLevelType w:val="hybridMultilevel"/>
    <w:tmpl w:val="85A46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422825"/>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6B2C60"/>
    <w:multiLevelType w:val="hybridMultilevel"/>
    <w:tmpl w:val="2B9ED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71F7B"/>
    <w:multiLevelType w:val="hybridMultilevel"/>
    <w:tmpl w:val="15DA8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ED6AFD"/>
    <w:multiLevelType w:val="multilevel"/>
    <w:tmpl w:val="69D8F934"/>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22" w15:restartNumberingAfterBreak="0">
    <w:nsid w:val="652C1161"/>
    <w:multiLevelType w:val="singleLevel"/>
    <w:tmpl w:val="03D45AD8"/>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8D74109"/>
    <w:multiLevelType w:val="hybridMultilevel"/>
    <w:tmpl w:val="55AE7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1F779A"/>
    <w:multiLevelType w:val="hybridMultilevel"/>
    <w:tmpl w:val="58949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33678"/>
    <w:multiLevelType w:val="hybridMultilevel"/>
    <w:tmpl w:val="1424E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6729BB"/>
    <w:multiLevelType w:val="hybridMultilevel"/>
    <w:tmpl w:val="3A762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0"/>
  </w:num>
  <w:num w:numId="3">
    <w:abstractNumId w:val="0"/>
  </w:num>
  <w:num w:numId="4">
    <w:abstractNumId w:val="0"/>
  </w:num>
  <w:num w:numId="5">
    <w:abstractNumId w:val="5"/>
  </w:num>
  <w:num w:numId="6">
    <w:abstractNumId w:val="5"/>
  </w:num>
  <w:num w:numId="7">
    <w:abstractNumId w:val="22"/>
  </w:num>
  <w:num w:numId="8">
    <w:abstractNumId w:val="22"/>
  </w:num>
  <w:num w:numId="9">
    <w:abstractNumId w:val="22"/>
  </w:num>
  <w:num w:numId="10">
    <w:abstractNumId w:val="5"/>
  </w:num>
  <w:num w:numId="11">
    <w:abstractNumId w:val="22"/>
  </w:num>
  <w:num w:numId="12">
    <w:abstractNumId w:val="22"/>
  </w:num>
  <w:num w:numId="13">
    <w:abstractNumId w:val="5"/>
  </w:num>
  <w:num w:numId="14">
    <w:abstractNumId w:val="5"/>
  </w:num>
  <w:num w:numId="15">
    <w:abstractNumId w:val="5"/>
  </w:num>
  <w:num w:numId="16">
    <w:abstractNumId w:val="10"/>
  </w:num>
  <w:num w:numId="17">
    <w:abstractNumId w:val="8"/>
  </w:num>
  <w:num w:numId="18">
    <w:abstractNumId w:val="21"/>
  </w:num>
  <w:num w:numId="19">
    <w:abstractNumId w:val="20"/>
  </w:num>
  <w:num w:numId="20">
    <w:abstractNumId w:val="24"/>
  </w:num>
  <w:num w:numId="21">
    <w:abstractNumId w:val="25"/>
  </w:num>
  <w:num w:numId="22">
    <w:abstractNumId w:val="17"/>
  </w:num>
  <w:num w:numId="23">
    <w:abstractNumId w:val="15"/>
  </w:num>
  <w:num w:numId="24">
    <w:abstractNumId w:val="14"/>
  </w:num>
  <w:num w:numId="25">
    <w:abstractNumId w:val="13"/>
  </w:num>
  <w:num w:numId="26">
    <w:abstractNumId w:val="19"/>
  </w:num>
  <w:num w:numId="27">
    <w:abstractNumId w:val="3"/>
  </w:num>
  <w:num w:numId="28">
    <w:abstractNumId w:val="1"/>
  </w:num>
  <w:num w:numId="29">
    <w:abstractNumId w:val="6"/>
  </w:num>
  <w:num w:numId="30">
    <w:abstractNumId w:val="16"/>
  </w:num>
  <w:num w:numId="31">
    <w:abstractNumId w:val="18"/>
  </w:num>
  <w:num w:numId="32">
    <w:abstractNumId w:val="11"/>
  </w:num>
  <w:num w:numId="33">
    <w:abstractNumId w:val="2"/>
  </w:num>
  <w:num w:numId="34">
    <w:abstractNumId w:val="12"/>
  </w:num>
  <w:num w:numId="35">
    <w:abstractNumId w:val="26"/>
  </w:num>
  <w:num w:numId="36">
    <w:abstractNumId w:val="9"/>
  </w:num>
  <w:num w:numId="37">
    <w:abstractNumId w:val="4"/>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A6"/>
    <w:rsid w:val="000022C9"/>
    <w:rsid w:val="00041ABD"/>
    <w:rsid w:val="00051B88"/>
    <w:rsid w:val="000523BC"/>
    <w:rsid w:val="00053483"/>
    <w:rsid w:val="00057905"/>
    <w:rsid w:val="00065905"/>
    <w:rsid w:val="00075933"/>
    <w:rsid w:val="000A5F2D"/>
    <w:rsid w:val="000B52BC"/>
    <w:rsid w:val="000D10A5"/>
    <w:rsid w:val="000D3F33"/>
    <w:rsid w:val="00100021"/>
    <w:rsid w:val="00112CAB"/>
    <w:rsid w:val="001267F7"/>
    <w:rsid w:val="00157346"/>
    <w:rsid w:val="0016777E"/>
    <w:rsid w:val="001802FB"/>
    <w:rsid w:val="00186121"/>
    <w:rsid w:val="00192DC7"/>
    <w:rsid w:val="001A070B"/>
    <w:rsid w:val="001D53AD"/>
    <w:rsid w:val="001E1C82"/>
    <w:rsid w:val="001E3D19"/>
    <w:rsid w:val="002015BE"/>
    <w:rsid w:val="0024113B"/>
    <w:rsid w:val="00253741"/>
    <w:rsid w:val="002601CB"/>
    <w:rsid w:val="0027190E"/>
    <w:rsid w:val="00272D69"/>
    <w:rsid w:val="002C2DC0"/>
    <w:rsid w:val="002F3688"/>
    <w:rsid w:val="00312327"/>
    <w:rsid w:val="00327095"/>
    <w:rsid w:val="0033142D"/>
    <w:rsid w:val="00335285"/>
    <w:rsid w:val="00364E3F"/>
    <w:rsid w:val="00374D0F"/>
    <w:rsid w:val="00397D5C"/>
    <w:rsid w:val="003C68D5"/>
    <w:rsid w:val="003F2479"/>
    <w:rsid w:val="00411FC4"/>
    <w:rsid w:val="00420803"/>
    <w:rsid w:val="004244A0"/>
    <w:rsid w:val="004244D7"/>
    <w:rsid w:val="00431C85"/>
    <w:rsid w:val="004508B0"/>
    <w:rsid w:val="00477B14"/>
    <w:rsid w:val="00492C4E"/>
    <w:rsid w:val="0049304D"/>
    <w:rsid w:val="004E7229"/>
    <w:rsid w:val="004F6A87"/>
    <w:rsid w:val="00522B27"/>
    <w:rsid w:val="00560CDC"/>
    <w:rsid w:val="005646D0"/>
    <w:rsid w:val="005D24D1"/>
    <w:rsid w:val="005E7625"/>
    <w:rsid w:val="00602DDD"/>
    <w:rsid w:val="00612CA6"/>
    <w:rsid w:val="00620962"/>
    <w:rsid w:val="006261D9"/>
    <w:rsid w:val="00641769"/>
    <w:rsid w:val="0065129A"/>
    <w:rsid w:val="0066043B"/>
    <w:rsid w:val="006703B4"/>
    <w:rsid w:val="0067486A"/>
    <w:rsid w:val="0068500C"/>
    <w:rsid w:val="00690FB6"/>
    <w:rsid w:val="006B5119"/>
    <w:rsid w:val="006C49D3"/>
    <w:rsid w:val="006D26F7"/>
    <w:rsid w:val="006D63BE"/>
    <w:rsid w:val="006E7110"/>
    <w:rsid w:val="006F27EA"/>
    <w:rsid w:val="00700DA7"/>
    <w:rsid w:val="00706F16"/>
    <w:rsid w:val="0070720C"/>
    <w:rsid w:val="0071021C"/>
    <w:rsid w:val="007211EE"/>
    <w:rsid w:val="00742C9D"/>
    <w:rsid w:val="00742E6D"/>
    <w:rsid w:val="007562EB"/>
    <w:rsid w:val="007617A5"/>
    <w:rsid w:val="00766477"/>
    <w:rsid w:val="007739BE"/>
    <w:rsid w:val="007B4D97"/>
    <w:rsid w:val="007B4DC3"/>
    <w:rsid w:val="007E7056"/>
    <w:rsid w:val="007F6BD8"/>
    <w:rsid w:val="00805D71"/>
    <w:rsid w:val="008217CF"/>
    <w:rsid w:val="00833FC9"/>
    <w:rsid w:val="00867C3B"/>
    <w:rsid w:val="00873D5B"/>
    <w:rsid w:val="0088483D"/>
    <w:rsid w:val="00892055"/>
    <w:rsid w:val="00897EFA"/>
    <w:rsid w:val="008D3D80"/>
    <w:rsid w:val="008E3B81"/>
    <w:rsid w:val="008F6F66"/>
    <w:rsid w:val="009236BF"/>
    <w:rsid w:val="009353FE"/>
    <w:rsid w:val="009420BB"/>
    <w:rsid w:val="00943F95"/>
    <w:rsid w:val="009506E6"/>
    <w:rsid w:val="00952710"/>
    <w:rsid w:val="00964F74"/>
    <w:rsid w:val="00996CC2"/>
    <w:rsid w:val="009A5A53"/>
    <w:rsid w:val="009F71B8"/>
    <w:rsid w:val="00A16EED"/>
    <w:rsid w:val="00A31872"/>
    <w:rsid w:val="00A32EA5"/>
    <w:rsid w:val="00A564E9"/>
    <w:rsid w:val="00A56EBA"/>
    <w:rsid w:val="00A76E5E"/>
    <w:rsid w:val="00A90A53"/>
    <w:rsid w:val="00AA2669"/>
    <w:rsid w:val="00AB54FF"/>
    <w:rsid w:val="00AC310B"/>
    <w:rsid w:val="00AC5B2B"/>
    <w:rsid w:val="00AD1409"/>
    <w:rsid w:val="00AE01CB"/>
    <w:rsid w:val="00AF1FD6"/>
    <w:rsid w:val="00AF5C8E"/>
    <w:rsid w:val="00B05DC7"/>
    <w:rsid w:val="00B34A8B"/>
    <w:rsid w:val="00B65A91"/>
    <w:rsid w:val="00B91278"/>
    <w:rsid w:val="00BF7F2F"/>
    <w:rsid w:val="00C0098F"/>
    <w:rsid w:val="00C2023F"/>
    <w:rsid w:val="00C2393E"/>
    <w:rsid w:val="00C34678"/>
    <w:rsid w:val="00C53504"/>
    <w:rsid w:val="00C6603C"/>
    <w:rsid w:val="00C86FBA"/>
    <w:rsid w:val="00C87187"/>
    <w:rsid w:val="00C9427A"/>
    <w:rsid w:val="00CC1706"/>
    <w:rsid w:val="00CD5AA3"/>
    <w:rsid w:val="00CD7A69"/>
    <w:rsid w:val="00D025DE"/>
    <w:rsid w:val="00D04487"/>
    <w:rsid w:val="00D27136"/>
    <w:rsid w:val="00D32FE0"/>
    <w:rsid w:val="00D36EEA"/>
    <w:rsid w:val="00D42BA6"/>
    <w:rsid w:val="00D442AB"/>
    <w:rsid w:val="00D9051C"/>
    <w:rsid w:val="00D931C4"/>
    <w:rsid w:val="00D96E99"/>
    <w:rsid w:val="00DA5DF0"/>
    <w:rsid w:val="00DC39AC"/>
    <w:rsid w:val="00DD43C5"/>
    <w:rsid w:val="00DF5559"/>
    <w:rsid w:val="00DF5F28"/>
    <w:rsid w:val="00E14757"/>
    <w:rsid w:val="00E15B77"/>
    <w:rsid w:val="00E3477B"/>
    <w:rsid w:val="00E3599D"/>
    <w:rsid w:val="00E36759"/>
    <w:rsid w:val="00E65A16"/>
    <w:rsid w:val="00E8567A"/>
    <w:rsid w:val="00EA11EF"/>
    <w:rsid w:val="00EA5097"/>
    <w:rsid w:val="00EF226D"/>
    <w:rsid w:val="00EF2FEA"/>
    <w:rsid w:val="00F01D19"/>
    <w:rsid w:val="00F534E9"/>
    <w:rsid w:val="00F54947"/>
    <w:rsid w:val="00F56CE2"/>
    <w:rsid w:val="00F7487F"/>
    <w:rsid w:val="00FD00BA"/>
    <w:rsid w:val="00FE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C33FC77-A12E-43E5-8D06-18432157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C5"/>
    <w:pPr>
      <w:spacing w:after="160"/>
    </w:pPr>
    <w:rPr>
      <w:rFonts w:ascii="Arial" w:hAnsi="Arial" w:cs="Arial"/>
      <w:color w:val="000000"/>
      <w:szCs w:val="24"/>
    </w:rPr>
  </w:style>
  <w:style w:type="paragraph" w:styleId="Heading1">
    <w:name w:val="heading 1"/>
    <w:basedOn w:val="Normal"/>
    <w:next w:val="Normal"/>
    <w:link w:val="Heading1Char"/>
    <w:uiPriority w:val="9"/>
    <w:qFormat/>
    <w:rsid w:val="00EF2FEA"/>
    <w:pPr>
      <w:pBdr>
        <w:bottom w:val="single" w:sz="4" w:space="1" w:color="auto"/>
      </w:pBdr>
      <w:spacing w:before="240" w:after="240" w:line="240" w:lineRule="auto"/>
      <w:outlineLvl w:val="0"/>
    </w:pPr>
    <w:rPr>
      <w:b/>
      <w:color w:val="4D4D4F"/>
      <w:sz w:val="28"/>
      <w:szCs w:val="28"/>
    </w:rPr>
  </w:style>
  <w:style w:type="paragraph" w:styleId="Heading2">
    <w:name w:val="heading 2"/>
    <w:basedOn w:val="Normal"/>
    <w:next w:val="Normal"/>
    <w:link w:val="Heading2Char"/>
    <w:uiPriority w:val="9"/>
    <w:qFormat/>
    <w:rsid w:val="00EF2FEA"/>
    <w:pPr>
      <w:spacing w:line="240" w:lineRule="auto"/>
      <w:outlineLvl w:val="1"/>
    </w:pPr>
    <w:rPr>
      <w:b/>
      <w:color w:val="auto"/>
      <w:sz w:val="24"/>
    </w:rPr>
  </w:style>
  <w:style w:type="paragraph" w:styleId="Heading3">
    <w:name w:val="heading 3"/>
    <w:basedOn w:val="Normal"/>
    <w:next w:val="Normal"/>
    <w:link w:val="Heading3Char"/>
    <w:uiPriority w:val="9"/>
    <w:qFormat/>
    <w:rsid w:val="00EF2FEA"/>
    <w:pPr>
      <w:spacing w:after="120" w:line="240" w:lineRule="auto"/>
      <w:outlineLvl w:val="2"/>
    </w:pPr>
    <w:rPr>
      <w:i/>
      <w:color w:val="auto"/>
    </w:rPr>
  </w:style>
  <w:style w:type="paragraph" w:styleId="Heading4">
    <w:name w:val="heading 4"/>
    <w:basedOn w:val="Normal"/>
    <w:next w:val="Normal"/>
    <w:link w:val="Heading4Char"/>
    <w:uiPriority w:val="9"/>
    <w:qFormat/>
    <w:rsid w:val="00EF2FEA"/>
    <w:pPr>
      <w:keepNext/>
      <w:keepLines/>
      <w:spacing w:after="120"/>
      <w:outlineLvl w:val="3"/>
    </w:pPr>
    <w:rPr>
      <w:rFonts w:eastAsiaTheme="majorEastAsia" w:cstheme="majorBidi"/>
      <w:bCs/>
      <w:iCs/>
      <w:u w:val="single"/>
    </w:rPr>
  </w:style>
  <w:style w:type="paragraph" w:styleId="Heading5">
    <w:name w:val="heading 5"/>
    <w:basedOn w:val="NoSpacing"/>
    <w:next w:val="Normal"/>
    <w:link w:val="Heading5Char"/>
    <w:uiPriority w:val="9"/>
    <w:unhideWhenUsed/>
    <w:qFormat/>
    <w:rsid w:val="00EF2FEA"/>
    <w:pPr>
      <w:outlineLvl w:val="4"/>
    </w:pPr>
    <w:rPr>
      <w:rFonts w:ascii="Arial Black" w:hAnsi="Arial Black"/>
      <w:color w:val="243C75" w:themeColor="accent4" w:themeShade="80"/>
    </w:rPr>
  </w:style>
  <w:style w:type="paragraph" w:styleId="Heading6">
    <w:name w:val="heading 6"/>
    <w:basedOn w:val="Normal"/>
    <w:next w:val="Normal"/>
    <w:link w:val="Heading6Char"/>
    <w:uiPriority w:val="9"/>
    <w:unhideWhenUsed/>
    <w:qFormat/>
    <w:rsid w:val="00EF2FEA"/>
    <w:pPr>
      <w:outlineLvl w:val="5"/>
    </w:pPr>
    <w:rPr>
      <w:i/>
      <w:color w:val="243C75"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qFormat/>
    <w:rsid w:val="00186121"/>
    <w:pPr>
      <w:numPr>
        <w:numId w:val="12"/>
      </w:numPr>
      <w:tabs>
        <w:tab w:val="left" w:pos="1800"/>
        <w:tab w:val="left" w:pos="3240"/>
      </w:tabs>
      <w:spacing w:after="12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EF2FEA"/>
    <w:pPr>
      <w:tabs>
        <w:tab w:val="center" w:pos="4153"/>
        <w:tab w:val="right" w:pos="8306"/>
      </w:tabs>
    </w:pPr>
  </w:style>
  <w:style w:type="paragraph" w:styleId="Footer">
    <w:name w:val="footer"/>
    <w:basedOn w:val="Normal"/>
    <w:rsid w:val="00EF2FEA"/>
    <w:pPr>
      <w:tabs>
        <w:tab w:val="center" w:pos="4153"/>
        <w:tab w:val="right" w:pos="8306"/>
      </w:tabs>
    </w:pPr>
  </w:style>
  <w:style w:type="character" w:customStyle="1" w:styleId="Heading1Char">
    <w:name w:val="Heading 1 Char"/>
    <w:basedOn w:val="DefaultParagraphFont"/>
    <w:link w:val="Heading1"/>
    <w:uiPriority w:val="9"/>
    <w:rsid w:val="00EF2FEA"/>
    <w:rPr>
      <w:rFonts w:ascii="Arial" w:hAnsi="Arial" w:cs="Arial"/>
      <w:b/>
      <w:color w:val="4D4D4F"/>
      <w:sz w:val="28"/>
      <w:szCs w:val="28"/>
    </w:rPr>
  </w:style>
  <w:style w:type="character" w:customStyle="1" w:styleId="Heading2Char">
    <w:name w:val="Heading 2 Char"/>
    <w:basedOn w:val="DefaultParagraphFont"/>
    <w:link w:val="Heading2"/>
    <w:uiPriority w:val="9"/>
    <w:rsid w:val="00EF2FEA"/>
    <w:rPr>
      <w:rFonts w:ascii="Arial" w:hAnsi="Arial" w:cs="Arial"/>
      <w:b/>
      <w:sz w:val="24"/>
      <w:szCs w:val="24"/>
    </w:rPr>
  </w:style>
  <w:style w:type="character" w:customStyle="1" w:styleId="Heading3Char">
    <w:name w:val="Heading 3 Char"/>
    <w:basedOn w:val="DefaultParagraphFont"/>
    <w:link w:val="Heading3"/>
    <w:uiPriority w:val="9"/>
    <w:rsid w:val="00EF2FEA"/>
    <w:rPr>
      <w:rFonts w:ascii="Arial" w:hAnsi="Arial" w:cs="Arial"/>
      <w:i/>
      <w:szCs w:val="24"/>
    </w:rPr>
  </w:style>
  <w:style w:type="character" w:customStyle="1" w:styleId="Heading4Char">
    <w:name w:val="Heading 4 Char"/>
    <w:basedOn w:val="DefaultParagraphFont"/>
    <w:link w:val="Heading4"/>
    <w:uiPriority w:val="9"/>
    <w:rsid w:val="00EF2FEA"/>
    <w:rPr>
      <w:rFonts w:ascii="Arial" w:eastAsiaTheme="majorEastAsia" w:hAnsi="Arial" w:cstheme="majorBidi"/>
      <w:bCs/>
      <w:iCs/>
      <w:color w:val="000000"/>
      <w:szCs w:val="24"/>
      <w:u w:val="single"/>
    </w:rPr>
  </w:style>
  <w:style w:type="character" w:customStyle="1" w:styleId="Heading5Char">
    <w:name w:val="Heading 5 Char"/>
    <w:basedOn w:val="DefaultParagraphFont"/>
    <w:link w:val="Heading5"/>
    <w:uiPriority w:val="9"/>
    <w:rsid w:val="00EF2FEA"/>
    <w:rPr>
      <w:rFonts w:ascii="Arial Black" w:hAnsi="Arial Black" w:cs="Arial"/>
      <w:color w:val="243C75" w:themeColor="accent4" w:themeShade="80"/>
      <w:szCs w:val="24"/>
    </w:rPr>
  </w:style>
  <w:style w:type="paragraph" w:styleId="Title">
    <w:name w:val="Title"/>
    <w:aliases w:val="Cover title"/>
    <w:basedOn w:val="Normal"/>
    <w:next w:val="Normal"/>
    <w:link w:val="TitleChar"/>
    <w:uiPriority w:val="10"/>
    <w:qFormat/>
    <w:rsid w:val="00EF2FEA"/>
    <w:rPr>
      <w:b/>
      <w:color w:val="243C75" w:themeColor="accent4" w:themeShade="80"/>
      <w:sz w:val="44"/>
      <w:szCs w:val="44"/>
    </w:rPr>
  </w:style>
  <w:style w:type="character" w:customStyle="1" w:styleId="TitleChar">
    <w:name w:val="Title Char"/>
    <w:aliases w:val="Cover title Char"/>
    <w:basedOn w:val="DefaultParagraphFont"/>
    <w:link w:val="Title"/>
    <w:uiPriority w:val="10"/>
    <w:rsid w:val="00EF2FEA"/>
    <w:rPr>
      <w:rFonts w:ascii="Arial" w:hAnsi="Arial" w:cs="Arial"/>
      <w:b/>
      <w:color w:val="243C75" w:themeColor="accent4" w:themeShade="80"/>
      <w:sz w:val="44"/>
      <w:szCs w:val="44"/>
    </w:rPr>
  </w:style>
  <w:style w:type="paragraph" w:customStyle="1" w:styleId="Sectiontitle">
    <w:name w:val="Section title"/>
    <w:basedOn w:val="Subtitle"/>
    <w:next w:val="Normal"/>
    <w:uiPriority w:val="11"/>
    <w:qFormat/>
    <w:rsid w:val="00186121"/>
    <w:rPr>
      <w:sz w:val="32"/>
      <w:szCs w:val="32"/>
    </w:rPr>
  </w:style>
  <w:style w:type="paragraph" w:styleId="NoSpacing">
    <w:name w:val="No Spacing"/>
    <w:uiPriority w:val="1"/>
    <w:qFormat/>
    <w:rsid w:val="00EF2FEA"/>
    <w:pPr>
      <w:spacing w:after="160" w:line="240" w:lineRule="auto"/>
    </w:pPr>
    <w:rPr>
      <w:rFonts w:ascii="Arial" w:hAnsi="Arial" w:cs="Arial"/>
      <w:color w:val="000000"/>
      <w:szCs w:val="24"/>
    </w:rPr>
  </w:style>
  <w:style w:type="paragraph" w:styleId="ListParagraph">
    <w:name w:val="List Paragraph"/>
    <w:basedOn w:val="Normal"/>
    <w:uiPriority w:val="34"/>
    <w:qFormat/>
    <w:rsid w:val="00EF2FEA"/>
    <w:pPr>
      <w:ind w:left="720"/>
    </w:pPr>
  </w:style>
  <w:style w:type="paragraph" w:styleId="Subtitle">
    <w:name w:val="Subtitle"/>
    <w:basedOn w:val="Normal"/>
    <w:next w:val="Normal"/>
    <w:link w:val="SubtitleChar"/>
    <w:uiPriority w:val="11"/>
    <w:qFormat/>
    <w:rsid w:val="00EF2FEA"/>
    <w:pPr>
      <w:numPr>
        <w:ilvl w:val="1"/>
      </w:numPr>
    </w:pPr>
    <w:rPr>
      <w:rFonts w:eastAsiaTheme="majorEastAsia" w:cstheme="majorBidi"/>
      <w:b/>
      <w:iCs/>
      <w:color w:val="002060"/>
      <w:sz w:val="28"/>
    </w:rPr>
  </w:style>
  <w:style w:type="character" w:customStyle="1" w:styleId="SubtitleChar">
    <w:name w:val="Subtitle Char"/>
    <w:basedOn w:val="DefaultParagraphFont"/>
    <w:link w:val="Subtitle"/>
    <w:uiPriority w:val="11"/>
    <w:rsid w:val="00EF2FEA"/>
    <w:rPr>
      <w:rFonts w:ascii="Arial" w:eastAsiaTheme="majorEastAsia" w:hAnsi="Arial" w:cstheme="majorBidi"/>
      <w:b/>
      <w:iCs/>
      <w:color w:val="002060"/>
      <w:sz w:val="28"/>
      <w:szCs w:val="24"/>
    </w:rPr>
  </w:style>
  <w:style w:type="paragraph" w:styleId="CommentText">
    <w:name w:val="annotation text"/>
    <w:basedOn w:val="Normal"/>
    <w:link w:val="CommentTextChar"/>
    <w:qFormat/>
    <w:rsid w:val="00272D69"/>
    <w:pPr>
      <w:spacing w:after="80" w:line="240" w:lineRule="auto"/>
    </w:pPr>
    <w:rPr>
      <w:rFonts w:cstheme="minorBidi"/>
      <w:color w:val="auto"/>
      <w:sz w:val="18"/>
      <w:szCs w:val="22"/>
      <w:lang w:eastAsia="en-US"/>
    </w:rPr>
  </w:style>
  <w:style w:type="character" w:customStyle="1" w:styleId="CommentTextChar">
    <w:name w:val="Comment Text Char"/>
    <w:basedOn w:val="DefaultParagraphFont"/>
    <w:link w:val="CommentText"/>
    <w:rsid w:val="00272D69"/>
    <w:rPr>
      <w:rFonts w:ascii="Arial" w:hAnsi="Arial"/>
      <w:sz w:val="18"/>
      <w:lang w:eastAsia="en-US"/>
    </w:rPr>
  </w:style>
  <w:style w:type="paragraph" w:styleId="FootnoteText">
    <w:name w:val="footnote text"/>
    <w:basedOn w:val="Normal"/>
    <w:link w:val="FootnoteTextChar"/>
    <w:qFormat/>
    <w:rsid w:val="00186121"/>
    <w:pPr>
      <w:spacing w:after="80" w:line="240" w:lineRule="auto"/>
    </w:pPr>
    <w:rPr>
      <w:color w:val="auto"/>
      <w:sz w:val="18"/>
      <w:szCs w:val="20"/>
    </w:rPr>
  </w:style>
  <w:style w:type="character" w:customStyle="1" w:styleId="FootnoteTextChar">
    <w:name w:val="Footnote Text Char"/>
    <w:basedOn w:val="DefaultParagraphFont"/>
    <w:link w:val="FootnoteText"/>
    <w:rsid w:val="00186121"/>
    <w:rPr>
      <w:rFonts w:ascii="Arial" w:hAnsi="Arial" w:cs="Arial"/>
      <w:sz w:val="18"/>
      <w:szCs w:val="20"/>
    </w:rPr>
  </w:style>
  <w:style w:type="character" w:customStyle="1" w:styleId="Heading6Char">
    <w:name w:val="Heading 6 Char"/>
    <w:basedOn w:val="DefaultParagraphFont"/>
    <w:link w:val="Heading6"/>
    <w:uiPriority w:val="9"/>
    <w:rsid w:val="00EF2FEA"/>
    <w:rPr>
      <w:rFonts w:ascii="Arial" w:hAnsi="Arial" w:cs="Arial"/>
      <w:i/>
      <w:color w:val="243C75" w:themeColor="accent4" w:themeShade="80"/>
      <w:szCs w:val="24"/>
    </w:rPr>
  </w:style>
  <w:style w:type="numbering" w:customStyle="1" w:styleId="RA">
    <w:name w:val="RA"/>
    <w:uiPriority w:val="99"/>
    <w:rsid w:val="007739BE"/>
    <w:pPr>
      <w:numPr>
        <w:numId w:val="5"/>
      </w:numPr>
    </w:pPr>
  </w:style>
  <w:style w:type="paragraph" w:styleId="TOC1">
    <w:name w:val="toc 1"/>
    <w:basedOn w:val="Heading1"/>
    <w:next w:val="Normal"/>
    <w:uiPriority w:val="39"/>
    <w:unhideWhenUsed/>
    <w:qFormat/>
    <w:rsid w:val="00186121"/>
  </w:style>
  <w:style w:type="paragraph" w:styleId="TOC2">
    <w:name w:val="toc 2"/>
    <w:basedOn w:val="Heading2"/>
    <w:next w:val="Normal"/>
    <w:uiPriority w:val="39"/>
    <w:unhideWhenUsed/>
    <w:qFormat/>
    <w:rsid w:val="00186121"/>
    <w:pPr>
      <w:spacing w:after="200"/>
    </w:pPr>
  </w:style>
  <w:style w:type="paragraph" w:styleId="TOC3">
    <w:name w:val="toc 3"/>
    <w:basedOn w:val="Normal"/>
    <w:next w:val="Normal"/>
    <w:autoRedefine/>
    <w:uiPriority w:val="39"/>
    <w:unhideWhenUsed/>
    <w:qFormat/>
    <w:rsid w:val="00EF2FEA"/>
    <w:pPr>
      <w:spacing w:after="100"/>
      <w:ind w:left="440"/>
    </w:pPr>
    <w:rPr>
      <w:rFonts w:eastAsiaTheme="minorEastAsia" w:cstheme="minorBidi"/>
      <w:color w:val="auto"/>
      <w:szCs w:val="22"/>
      <w:lang w:val="en-US" w:eastAsia="ja-JP"/>
    </w:rPr>
  </w:style>
  <w:style w:type="character" w:styleId="Strong">
    <w:name w:val="Strong"/>
    <w:basedOn w:val="DefaultParagraphFont"/>
    <w:rsid w:val="00EF2FEA"/>
    <w:rPr>
      <w:b/>
      <w:bCs/>
    </w:rPr>
  </w:style>
  <w:style w:type="paragraph" w:styleId="TOCHeading">
    <w:name w:val="TOC Heading"/>
    <w:basedOn w:val="Heading1"/>
    <w:next w:val="Normal"/>
    <w:uiPriority w:val="39"/>
    <w:semiHidden/>
    <w:unhideWhenUsed/>
    <w:qFormat/>
    <w:rsid w:val="00EF2FEA"/>
    <w:pPr>
      <w:keepNext/>
      <w:keepLines/>
      <w:pBdr>
        <w:bottom w:val="none" w:sz="0" w:space="0" w:color="auto"/>
      </w:pBdr>
      <w:spacing w:before="480" w:after="0" w:line="276" w:lineRule="auto"/>
      <w:outlineLvl w:val="9"/>
    </w:pPr>
    <w:rPr>
      <w:rFonts w:asciiTheme="majorHAnsi" w:eastAsiaTheme="majorEastAsia" w:hAnsiTheme="majorHAnsi" w:cstheme="majorBidi"/>
      <w:bCs/>
      <w:color w:val="AE9638" w:themeColor="accent1" w:themeShade="BF"/>
      <w:lang w:val="en-US" w:eastAsia="ja-JP"/>
    </w:rPr>
  </w:style>
  <w:style w:type="character" w:styleId="PageNumber">
    <w:name w:val="page number"/>
    <w:basedOn w:val="DefaultParagraphFont"/>
    <w:rsid w:val="00EF2FEA"/>
  </w:style>
  <w:style w:type="paragraph" w:styleId="NormalWeb">
    <w:name w:val="Normal (Web)"/>
    <w:basedOn w:val="Normal"/>
    <w:rsid w:val="00EF2FEA"/>
    <w:pPr>
      <w:spacing w:before="100" w:beforeAutospacing="1" w:after="100" w:afterAutospacing="1"/>
    </w:pPr>
  </w:style>
  <w:style w:type="paragraph" w:styleId="BalloonText">
    <w:name w:val="Balloon Text"/>
    <w:basedOn w:val="Normal"/>
    <w:link w:val="BalloonTextChar"/>
    <w:rsid w:val="00EF2FEA"/>
    <w:rPr>
      <w:rFonts w:ascii="Tahoma" w:hAnsi="Tahoma" w:cs="Tahoma"/>
      <w:sz w:val="16"/>
      <w:szCs w:val="16"/>
    </w:rPr>
  </w:style>
  <w:style w:type="character" w:customStyle="1" w:styleId="BalloonTextChar">
    <w:name w:val="Balloon Text Char"/>
    <w:basedOn w:val="DefaultParagraphFont"/>
    <w:link w:val="BalloonText"/>
    <w:rsid w:val="00EF2FEA"/>
    <w:rPr>
      <w:rFonts w:ascii="Tahoma" w:hAnsi="Tahoma" w:cs="Tahoma"/>
      <w:color w:val="000000"/>
      <w:sz w:val="16"/>
      <w:szCs w:val="16"/>
    </w:rPr>
  </w:style>
  <w:style w:type="table" w:styleId="TableGrid">
    <w:name w:val="Table Grid"/>
    <w:basedOn w:val="TableNormal"/>
    <w:uiPriority w:val="39"/>
    <w:rsid w:val="00EF2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9304D"/>
    <w:pPr>
      <w:ind w:left="360"/>
    </w:pPr>
    <w:rPr>
      <w:i/>
      <w:iCs/>
      <w:color w:val="000000" w:themeColor="text1"/>
    </w:rPr>
  </w:style>
  <w:style w:type="character" w:customStyle="1" w:styleId="QuoteChar">
    <w:name w:val="Quote Char"/>
    <w:basedOn w:val="DefaultParagraphFont"/>
    <w:link w:val="Quote"/>
    <w:uiPriority w:val="29"/>
    <w:rsid w:val="0049304D"/>
    <w:rPr>
      <w:rFonts w:ascii="Arial" w:hAnsi="Arial" w:cs="Arial"/>
      <w:i/>
      <w:iCs/>
      <w:color w:val="000000" w:themeColor="text1"/>
      <w:szCs w:val="24"/>
    </w:rPr>
  </w:style>
  <w:style w:type="numbering" w:customStyle="1" w:styleId="RA1">
    <w:name w:val="RA1"/>
    <w:uiPriority w:val="99"/>
    <w:rsid w:val="000022C9"/>
  </w:style>
  <w:style w:type="character" w:styleId="CommentReference">
    <w:name w:val="annotation reference"/>
    <w:basedOn w:val="DefaultParagraphFont"/>
    <w:semiHidden/>
    <w:unhideWhenUsed/>
    <w:rsid w:val="000523BC"/>
    <w:rPr>
      <w:sz w:val="16"/>
      <w:szCs w:val="16"/>
    </w:rPr>
  </w:style>
  <w:style w:type="paragraph" w:styleId="CommentSubject">
    <w:name w:val="annotation subject"/>
    <w:basedOn w:val="CommentText"/>
    <w:next w:val="CommentText"/>
    <w:link w:val="CommentSubjectChar"/>
    <w:semiHidden/>
    <w:unhideWhenUsed/>
    <w:rsid w:val="000523BC"/>
    <w:pPr>
      <w:spacing w:after="160"/>
    </w:pPr>
    <w:rPr>
      <w:rFonts w:cs="Arial"/>
      <w:b/>
      <w:bCs/>
      <w:color w:val="000000"/>
      <w:sz w:val="20"/>
      <w:szCs w:val="20"/>
      <w:lang w:eastAsia="en-GB"/>
    </w:rPr>
  </w:style>
  <w:style w:type="character" w:customStyle="1" w:styleId="CommentSubjectChar">
    <w:name w:val="Comment Subject Char"/>
    <w:basedOn w:val="CommentTextChar"/>
    <w:link w:val="CommentSubject"/>
    <w:semiHidden/>
    <w:rsid w:val="000523BC"/>
    <w:rPr>
      <w:rFonts w:ascii="Arial" w:hAnsi="Arial"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A37216831</value>
    </field>
    <field name="Objective-Title">
      <value order="0">220708 - AAB - 02. Note 220324</value>
    </field>
    <field name="Objective-Description">
      <value order="0"/>
    </field>
    <field name="Objective-CreationStamp">
      <value order="0">2022-03-28T11:43:16Z</value>
    </field>
    <field name="Objective-IsApproved">
      <value order="0">false</value>
    </field>
    <field name="Objective-IsPublished">
      <value order="0">false</value>
    </field>
    <field name="Objective-DatePublished">
      <value order="0"/>
    </field>
    <field name="Objective-ModificationStamp">
      <value order="0">2022-04-08T09:18:25Z</value>
    </field>
    <field name="Objective-Owner">
      <value order="0">Paterson, Fiona F (N300555)</value>
    </field>
    <field name="Objective-Path">
      <value order="0">Objective Global Folder:Scottish Public Services Ombudsman File Plan:Corporate Governance:Governance:Meetings:Governance meetings (2022): 2022-2024</value>
    </field>
    <field name="Objective-Parent">
      <value order="0">Governance meetings (2022): 2022-2024</value>
    </field>
    <field name="Objective-State">
      <value order="0">Being Edited</value>
    </field>
    <field name="Objective-VersionId">
      <value order="0">vA55374006</value>
    </field>
    <field name="Objective-Version">
      <value order="0">0.6</value>
    </field>
    <field name="Objective-VersionNumber">
      <value order="0">6</value>
    </field>
    <field name="Objective-VersionComment">
      <value order="0"/>
    </field>
    <field name="Objective-FileNumber">
      <value order="0">BUSPROC/8971</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CBB15D1CACB74D43B54B12BBAB2058C8" ma:contentTypeVersion="0" ma:contentTypeDescription="Create a new document." ma:contentTypeScope="" ma:versionID="57ec0cd52f382355128d09a7bd161b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BF3AD1-3799-447E-80D2-BDB88A9A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4534F-8A69-42AF-8242-0E5EF8013949}">
  <ds:schemaRefs>
    <ds:schemaRef ds:uri="http://schemas.microsoft.com/sharepoint/v3/contenttype/forms"/>
  </ds:schemaRefs>
</ds:datastoreItem>
</file>

<file path=customXml/itemProps4.xml><?xml version="1.0" encoding="utf-8"?>
<ds:datastoreItem xmlns:ds="http://schemas.openxmlformats.org/officeDocument/2006/customXml" ds:itemID="{9E7231D4-AFA4-4AAD-9262-F904AC956E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32E2E36-D55F-4C47-BB60-0D32997B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TEMPLATE Governance report</vt:lpstr>
    </vt:vector>
  </TitlesOfParts>
  <Company>Scottish Government</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Governance report</dc:title>
  <dc:creator>RA</dc:creator>
  <cp:lastModifiedBy>O'Donnell S (Sarah) (SPSO)</cp:lastModifiedBy>
  <cp:revision>2</cp:revision>
  <cp:lastPrinted>2020-11-12T11:08:00Z</cp:lastPrinted>
  <dcterms:created xsi:type="dcterms:W3CDTF">2022-04-11T10:10:00Z</dcterms:created>
  <dcterms:modified xsi:type="dcterms:W3CDTF">2022-04-11T10:10:00Z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0x010100CBB15D1CACB74D43B54B12BBAB2058C8</vt:lpwstr>
  </property>
  <property fmtid="{D5CDD505-2E9C-101B-9397-08002B2CF9AE}" pid="3" name="Order">
    <vt:r8>460800</vt:r8>
  </property>
  <property fmtid="{D5CDD505-2E9C-101B-9397-08002B2CF9AE}" pid="4" name="Retention Period">
    <vt:lpwstr>7</vt:lpwstr>
  </property>
  <property fmtid="{D5CDD505-2E9C-101B-9397-08002B2CF9AE}" pid="5" name="Objective-Id">
    <vt:lpwstr>A37216831</vt:lpwstr>
  </property>
  <property fmtid="{D5CDD505-2E9C-101B-9397-08002B2CF9AE}" pid="6" name="Objective-Title">
    <vt:lpwstr>220708 - AAB - 02. Note 220324</vt:lpwstr>
  </property>
  <property fmtid="{D5CDD505-2E9C-101B-9397-08002B2CF9AE}" pid="7" name="Objective-Description">
    <vt:lpwstr/>
  </property>
  <property fmtid="{D5CDD505-2E9C-101B-9397-08002B2CF9AE}" pid="8" name="Objective-CreationStamp">
    <vt:filetime>2022-03-28T11:43:16Z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2022-04-08T09:18:25Z</vt:filetime>
  </property>
  <property fmtid="{D5CDD505-2E9C-101B-9397-08002B2CF9AE}" pid="13" name="Objective-Owner">
    <vt:lpwstr>Paterson, Fiona F (N300555)</vt:lpwstr>
  </property>
  <property fmtid="{D5CDD505-2E9C-101B-9397-08002B2CF9AE}" pid="14" name="Objective-Path">
    <vt:lpwstr>Objective Global Folder:Scottish Public Services Ombudsman File Plan:Corporate Governance:Governance:Meetings:Governance meetings (2022): 2022-2024</vt:lpwstr>
  </property>
  <property fmtid="{D5CDD505-2E9C-101B-9397-08002B2CF9AE}" pid="15" name="Objective-Parent">
    <vt:lpwstr>Governance meetings (2022): 2022-2024</vt:lpwstr>
  </property>
  <property fmtid="{D5CDD505-2E9C-101B-9397-08002B2CF9AE}" pid="16" name="Objective-State">
    <vt:lpwstr>Being Edited</vt:lpwstr>
  </property>
  <property fmtid="{D5CDD505-2E9C-101B-9397-08002B2CF9AE}" pid="17" name="Objective-VersionId">
    <vt:lpwstr>vA55374006</vt:lpwstr>
  </property>
  <property fmtid="{D5CDD505-2E9C-101B-9397-08002B2CF9AE}" pid="18" name="Objective-Version">
    <vt:lpwstr>0.6</vt:lpwstr>
  </property>
  <property fmtid="{D5CDD505-2E9C-101B-9397-08002B2CF9AE}" pid="19" name="Objective-VersionNumber">
    <vt:r8>6</vt:r8>
  </property>
  <property fmtid="{D5CDD505-2E9C-101B-9397-08002B2CF9AE}" pid="20" name="Objective-VersionComment">
    <vt:lpwstr/>
  </property>
  <property fmtid="{D5CDD505-2E9C-101B-9397-08002B2CF9AE}" pid="21" name="Objective-FileNumber">
    <vt:lpwstr>BUSPROC/8971</vt:lpwstr>
  </property>
  <property fmtid="{D5CDD505-2E9C-101B-9397-08002B2CF9AE}" pid="22" name="Objective-Classification">
    <vt:lpwstr>OFFICIAL</vt:lpwstr>
  </property>
  <property fmtid="{D5CDD505-2E9C-101B-9397-08002B2CF9AE}" pid="23" name="Objective-Caveats">
    <vt:lpwstr>Caveat for Scottish Public Services Ombudsman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ies>
</file>